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A2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>
        <w:rPr>
          <w:rFonts w:ascii="Times New Roman" w:hAnsi="Times New Roman" w:cs="Times New Roman"/>
          <w:sz w:val="28"/>
          <w:szCs w:val="28"/>
          <w:lang w:val="en-US"/>
        </w:rPr>
        <w:t>[004.056.53 + 654.077] (076)</w:t>
      </w:r>
    </w:p>
    <w:p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677B" w:rsidRDefault="008F677B" w:rsidP="008F677B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67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67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Е.А. Савченко.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</w:t>
      </w:r>
      <w:r w:rsidR="00A85321">
        <w:rPr>
          <w:rFonts w:ascii="Times New Roman" w:hAnsi="Times New Roman" w:cs="Times New Roman"/>
          <w:sz w:val="28"/>
          <w:szCs w:val="28"/>
        </w:rPr>
        <w:t xml:space="preserve"> </w:t>
      </w:r>
      <w:r w:rsidRPr="008F67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БГУИР, 2022,</w:t>
      </w:r>
      <w:r w:rsidR="00A853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85321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85321">
        <w:rPr>
          <w:rFonts w:ascii="Times New Roman" w:hAnsi="Times New Roman" w:cs="Times New Roman"/>
          <w:sz w:val="28"/>
          <w:szCs w:val="28"/>
        </w:rPr>
        <w:t xml:space="preserve">. – </w:t>
      </w:r>
      <w:r w:rsidR="00A85321" w:rsidRPr="00A85321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A85321">
        <w:rPr>
          <w:rFonts w:ascii="Times New Roman" w:hAnsi="Times New Roman" w:cs="Times New Roman"/>
          <w:sz w:val="28"/>
          <w:szCs w:val="28"/>
        </w:rPr>
        <w:t xml:space="preserve"> с., чертежей (плакатов) – </w:t>
      </w:r>
      <w:r w:rsidR="00A85321" w:rsidRPr="00A85321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A85321">
        <w:rPr>
          <w:rFonts w:ascii="Times New Roman" w:hAnsi="Times New Roman" w:cs="Times New Roman"/>
          <w:sz w:val="28"/>
          <w:szCs w:val="28"/>
        </w:rPr>
        <w:t xml:space="preserve"> л. формата А3.</w:t>
      </w:r>
    </w:p>
    <w:p w:rsidR="005D4FE1" w:rsidRDefault="005D4FE1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2406" w:rsidRDefault="000B2406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Pr="000B2406">
        <w:rPr>
          <w:rFonts w:ascii="Times New Roman" w:hAnsi="Times New Roman" w:cs="Times New Roman"/>
          <w:sz w:val="28"/>
          <w:szCs w:val="28"/>
        </w:rPr>
        <w:t>совершенствование обеспечения безопасности торгового центра за счет внедрения системы IP-видеонаблюдения.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проведен обзор и сравнительный анализ аналоговых и цифровых систем видеонаблюдения. Выполнено моделирование системы </w:t>
      </w:r>
      <w:r w:rsidR="003D12A3">
        <w:rPr>
          <w:rFonts w:ascii="Times New Roman" w:hAnsi="Times New Roman" w:cs="Times New Roman"/>
          <w:sz w:val="28"/>
          <w:szCs w:val="28"/>
        </w:rPr>
        <w:t>видеонаблюдения для торгового центра.</w:t>
      </w:r>
    </w:p>
    <w:p w:rsid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Технико-экономическое обоснование затрат показало, </w:t>
      </w:r>
      <w:r w:rsidRPr="003D12A3">
        <w:rPr>
          <w:rFonts w:ascii="Times New Roman" w:hAnsi="Times New Roman" w:cs="Times New Roman"/>
          <w:color w:val="FF0000"/>
          <w:sz w:val="28"/>
          <w:szCs w:val="28"/>
        </w:rPr>
        <w:t>что …</w:t>
      </w:r>
    </w:p>
    <w:p w:rsidR="003D12A3" w:rsidRP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выполнена самостоятельно</w:t>
      </w:r>
      <w:r w:rsidR="005D4FE1">
        <w:rPr>
          <w:rFonts w:ascii="Times New Roman" w:hAnsi="Times New Roman" w:cs="Times New Roman"/>
          <w:sz w:val="28"/>
          <w:szCs w:val="28"/>
        </w:rPr>
        <w:t>, проверена на плагиат с помощью системы обнаружения текстовых заимствований «Антиплагиат». Все заимствованные материалы имеют ссылки на литературные источники.</w:t>
      </w:r>
      <w:bookmarkStart w:id="0" w:name="_GoBack"/>
      <w:bookmarkEnd w:id="0"/>
    </w:p>
    <w:sectPr w:rsidR="003D12A3" w:rsidRPr="003D12A3" w:rsidSect="008F677B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B2406"/>
    <w:rsid w:val="003D12A3"/>
    <w:rsid w:val="005D4FE1"/>
    <w:rsid w:val="008F677B"/>
    <w:rsid w:val="00A46BA2"/>
    <w:rsid w:val="00A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7C5A"/>
  <w15:chartTrackingRefBased/>
  <w15:docId w15:val="{B682BBCD-7228-42F1-86F6-CDE6DC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2022-09-24T12:13:00Z</dcterms:created>
  <dcterms:modified xsi:type="dcterms:W3CDTF">2022-09-24T13:39:00Z</dcterms:modified>
</cp:coreProperties>
</file>