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AAA" w:rsidRPr="00165011" w:rsidRDefault="00D3440E">
      <w:pPr>
        <w:rPr>
          <w:color w:val="FF0000"/>
          <w:sz w:val="28"/>
          <w:szCs w:val="28"/>
        </w:rPr>
      </w:pPr>
      <w:r w:rsidRPr="00165011">
        <w:rPr>
          <w:rFonts w:ascii="Times New Roman" w:hAnsi="Times New Roman" w:cs="Times New Roman"/>
          <w:color w:val="FF0000"/>
          <w:sz w:val="28"/>
          <w:szCs w:val="28"/>
          <w:lang w:val="en-US"/>
        </w:rPr>
        <w:t>2.</w:t>
      </w:r>
      <w:r w:rsidRPr="00165011">
        <w:rPr>
          <w:color w:val="FF0000"/>
          <w:sz w:val="28"/>
          <w:szCs w:val="28"/>
        </w:rPr>
        <w:t xml:space="preserve"> </w:t>
      </w:r>
      <w:proofErr w:type="spellStart"/>
      <w:r w:rsidRPr="00165011">
        <w:rPr>
          <w:color w:val="FF0000"/>
          <w:sz w:val="28"/>
          <w:szCs w:val="28"/>
        </w:rPr>
        <w:t>Quid</w:t>
      </w:r>
      <w:proofErr w:type="spellEnd"/>
      <w:r w:rsidRPr="00165011">
        <w:rPr>
          <w:color w:val="FF0000"/>
          <w:sz w:val="28"/>
          <w:szCs w:val="28"/>
        </w:rPr>
        <w:t xml:space="preserve"> </w:t>
      </w:r>
      <w:proofErr w:type="spellStart"/>
      <w:r w:rsidRPr="00165011">
        <w:rPr>
          <w:color w:val="FF0000"/>
          <w:sz w:val="28"/>
          <w:szCs w:val="28"/>
        </w:rPr>
        <w:t>pro</w:t>
      </w:r>
      <w:proofErr w:type="spellEnd"/>
      <w:r w:rsidRPr="00165011">
        <w:rPr>
          <w:color w:val="FF0000"/>
          <w:sz w:val="28"/>
          <w:szCs w:val="28"/>
        </w:rPr>
        <w:t xml:space="preserve"> </w:t>
      </w:r>
      <w:proofErr w:type="spellStart"/>
      <w:r w:rsidRPr="00165011">
        <w:rPr>
          <w:color w:val="FF0000"/>
          <w:sz w:val="28"/>
          <w:szCs w:val="28"/>
        </w:rPr>
        <w:t>quo</w:t>
      </w:r>
      <w:proofErr w:type="spellEnd"/>
      <w:r w:rsidRPr="00165011">
        <w:rPr>
          <w:color w:val="FF0000"/>
          <w:sz w:val="28"/>
          <w:szCs w:val="28"/>
        </w:rPr>
        <w:t>.</w:t>
      </w:r>
    </w:p>
    <w:p w:rsidR="00D3440E" w:rsidRDefault="00D3440E">
      <w:pPr>
        <w:rPr>
          <w:rFonts w:ascii="Arial" w:hAnsi="Arial" w:cs="Arial"/>
          <w:color w:val="D3CFCA"/>
          <w:sz w:val="21"/>
          <w:szCs w:val="21"/>
          <w:shd w:val="clear" w:color="auto" w:fill="181A1B"/>
        </w:rPr>
      </w:pPr>
      <w:r>
        <w:rPr>
          <w:rFonts w:ascii="Arial" w:hAnsi="Arial" w:cs="Arial"/>
          <w:color w:val="D3CFCA"/>
          <w:sz w:val="21"/>
          <w:szCs w:val="21"/>
          <w:shd w:val="clear" w:color="auto" w:fill="181A1B"/>
        </w:rPr>
        <w:t>фразеологизм, обычно используемый в английском языке в значении «услуга за услугу»</w:t>
      </w:r>
      <w:hyperlink r:id="rId5" w:anchor="cite_note-3" w:history="1">
        <w:r>
          <w:rPr>
            <w:rStyle w:val="a3"/>
            <w:rFonts w:ascii="Arial" w:hAnsi="Arial" w:cs="Arial"/>
            <w:color w:val="7E72FF"/>
            <w:sz w:val="17"/>
            <w:szCs w:val="17"/>
            <w:shd w:val="clear" w:color="auto" w:fill="181A1B"/>
            <w:vertAlign w:val="superscript"/>
          </w:rPr>
          <w:t>[3]</w:t>
        </w:r>
      </w:hyperlink>
      <w:r>
        <w:rPr>
          <w:rFonts w:ascii="Arial" w:hAnsi="Arial" w:cs="Arial"/>
          <w:color w:val="D3CFCA"/>
          <w:sz w:val="21"/>
          <w:szCs w:val="21"/>
          <w:shd w:val="clear" w:color="auto" w:fill="181A1B"/>
        </w:rPr>
        <w:t>.</w:t>
      </w:r>
    </w:p>
    <w:p w:rsidR="00165011" w:rsidRDefault="00165011">
      <w:pPr>
        <w:rPr>
          <w:rFonts w:ascii="Arial" w:hAnsi="Arial" w:cs="Arial"/>
          <w:color w:val="D3CFCA"/>
          <w:sz w:val="21"/>
          <w:szCs w:val="21"/>
          <w:shd w:val="clear" w:color="auto" w:fill="181A1B"/>
        </w:rPr>
      </w:pPr>
      <w:r w:rsidRPr="00165011">
        <w:rPr>
          <w:rFonts w:ascii="Arial" w:hAnsi="Arial" w:cs="Arial"/>
          <w:color w:val="D3CFCA"/>
          <w:sz w:val="21"/>
          <w:szCs w:val="21"/>
          <w:shd w:val="clear" w:color="auto" w:fill="181A1B"/>
        </w:rPr>
        <w:drawing>
          <wp:inline distT="0" distB="0" distL="0" distR="0" wp14:anchorId="4F845295" wp14:editId="0B7B3A9B">
            <wp:extent cx="1552669" cy="198505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5500" cy="20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0E" w:rsidRPr="00165011" w:rsidRDefault="00D3440E" w:rsidP="00D3440E">
      <w:pPr>
        <w:rPr>
          <w:color w:val="FF0000"/>
          <w:sz w:val="28"/>
          <w:szCs w:val="28"/>
        </w:rPr>
      </w:pPr>
      <w:r w:rsidRPr="00165011">
        <w:rPr>
          <w:color w:val="FF0000"/>
          <w:sz w:val="28"/>
          <w:szCs w:val="28"/>
        </w:rPr>
        <w:t>4.</w:t>
      </w:r>
      <w:r w:rsidRPr="00165011">
        <w:rPr>
          <w:color w:val="FF0000"/>
          <w:sz w:val="28"/>
          <w:szCs w:val="28"/>
        </w:rPr>
        <w:t xml:space="preserve">Ботнеты. Использование </w:t>
      </w:r>
      <w:proofErr w:type="spellStart"/>
      <w:r w:rsidRPr="00165011">
        <w:rPr>
          <w:color w:val="FF0000"/>
          <w:sz w:val="28"/>
          <w:szCs w:val="28"/>
        </w:rPr>
        <w:t>ботнетов</w:t>
      </w:r>
      <w:proofErr w:type="spellEnd"/>
      <w:r w:rsidRPr="00165011">
        <w:rPr>
          <w:color w:val="FF0000"/>
          <w:sz w:val="28"/>
          <w:szCs w:val="28"/>
        </w:rPr>
        <w:t>.</w:t>
      </w:r>
    </w:p>
    <w:p w:rsidR="00D3440E" w:rsidRDefault="00D3440E" w:rsidP="00D3440E">
      <w:pPr>
        <w:rPr>
          <w:rFonts w:ascii="Arial" w:hAnsi="Arial" w:cs="Arial"/>
          <w:color w:val="DDDAD6"/>
          <w:shd w:val="clear" w:color="auto" w:fill="181A1B"/>
        </w:rPr>
      </w:pPr>
      <w:r>
        <w:rPr>
          <w:rFonts w:ascii="Arial" w:hAnsi="Arial" w:cs="Arial"/>
          <w:color w:val="DDDAD6"/>
          <w:shd w:val="clear" w:color="auto" w:fill="181A1B"/>
        </w:rPr>
        <w:t>Слово «</w:t>
      </w:r>
      <w:proofErr w:type="spellStart"/>
      <w:r>
        <w:rPr>
          <w:rFonts w:ascii="Arial" w:hAnsi="Arial" w:cs="Arial"/>
          <w:color w:val="DDDAD6"/>
          <w:shd w:val="clear" w:color="auto" w:fill="181A1B"/>
        </w:rPr>
        <w:t>ботнет</w:t>
      </w:r>
      <w:proofErr w:type="spellEnd"/>
      <w:r>
        <w:rPr>
          <w:rFonts w:ascii="Arial" w:hAnsi="Arial" w:cs="Arial"/>
          <w:color w:val="DDDAD6"/>
          <w:shd w:val="clear" w:color="auto" w:fill="181A1B"/>
        </w:rPr>
        <w:t xml:space="preserve">» представляет собой сочетание двух слов «робот» и </w:t>
      </w:r>
      <w:proofErr w:type="gramStart"/>
      <w:r>
        <w:rPr>
          <w:rFonts w:ascii="Arial" w:hAnsi="Arial" w:cs="Arial"/>
          <w:color w:val="DDDAD6"/>
          <w:shd w:val="clear" w:color="auto" w:fill="181A1B"/>
        </w:rPr>
        <w:t>«сеть»</w:t>
      </w:r>
      <w:proofErr w:type="gramEnd"/>
      <w:r>
        <w:rPr>
          <w:rFonts w:ascii="Arial" w:hAnsi="Arial" w:cs="Arial"/>
          <w:color w:val="DDDAD6"/>
          <w:shd w:val="clear" w:color="auto" w:fill="181A1B"/>
        </w:rPr>
        <w:t xml:space="preserve"> </w:t>
      </w:r>
      <w:r>
        <w:rPr>
          <w:rFonts w:ascii="Arial" w:hAnsi="Arial" w:cs="Arial"/>
          <w:color w:val="DDDAD6"/>
          <w:shd w:val="clear" w:color="auto" w:fill="181A1B"/>
        </w:rPr>
        <w:t xml:space="preserve">Здесь киберпреступник, выполняющий роль </w:t>
      </w:r>
      <w:proofErr w:type="spellStart"/>
      <w:r>
        <w:rPr>
          <w:rFonts w:ascii="Arial" w:hAnsi="Arial" w:cs="Arial"/>
          <w:color w:val="DDDAD6"/>
          <w:shd w:val="clear" w:color="auto" w:fill="181A1B"/>
        </w:rPr>
        <w:t>ботмастера</w:t>
      </w:r>
      <w:proofErr w:type="spellEnd"/>
      <w:r>
        <w:rPr>
          <w:rFonts w:ascii="Arial" w:hAnsi="Arial" w:cs="Arial"/>
          <w:color w:val="DDDAD6"/>
          <w:shd w:val="clear" w:color="auto" w:fill="181A1B"/>
        </w:rPr>
        <w:t xml:space="preserve">, использует троянские вирусы, чтобы нарушить безопасность нескольких компьютеров и подключить их к сети в злонамеренных целях. Каждый компьютер в сети действует как «бот» и управляется мошенником для передачи вредоносных программ, спама или вредоносного контента для запуска атаки. </w:t>
      </w:r>
      <w:proofErr w:type="spellStart"/>
      <w:r>
        <w:rPr>
          <w:rFonts w:ascii="Arial" w:hAnsi="Arial" w:cs="Arial"/>
          <w:color w:val="DDDAD6"/>
          <w:shd w:val="clear" w:color="auto" w:fill="181A1B"/>
        </w:rPr>
        <w:t>Ботнет</w:t>
      </w:r>
      <w:proofErr w:type="spellEnd"/>
      <w:r>
        <w:rPr>
          <w:rFonts w:ascii="Arial" w:hAnsi="Arial" w:cs="Arial"/>
          <w:color w:val="DDDAD6"/>
          <w:shd w:val="clear" w:color="auto" w:fill="181A1B"/>
        </w:rPr>
        <w:t xml:space="preserve"> порой называют «армией зомби», т.к. компьютеры контролируются кем-то иным, кроме их владельца.</w:t>
      </w:r>
      <w:r w:rsidRPr="00D3440E">
        <w:rPr>
          <w:rFonts w:ascii="Arial" w:hAnsi="Arial" w:cs="Arial"/>
          <w:color w:val="DDDAD6"/>
          <w:shd w:val="clear" w:color="auto" w:fill="181A1B"/>
        </w:rPr>
        <w:t xml:space="preserve"> </w:t>
      </w:r>
      <w:r>
        <w:rPr>
          <w:rFonts w:ascii="Arial" w:hAnsi="Arial" w:cs="Arial"/>
          <w:color w:val="DDDAD6"/>
          <w:shd w:val="clear" w:color="auto" w:fill="181A1B"/>
        </w:rPr>
        <w:t>Рекламное программное обеспечение выглядит как безвредная реклама, но использует шпионское ПО для сбора данных браузера.</w:t>
      </w:r>
    </w:p>
    <w:p w:rsidR="00D3440E" w:rsidRPr="00D3440E" w:rsidRDefault="00D3440E" w:rsidP="00D3440E">
      <w:pPr>
        <w:rPr>
          <w:sz w:val="28"/>
          <w:szCs w:val="28"/>
        </w:rPr>
      </w:pPr>
      <w:r>
        <w:rPr>
          <w:rFonts w:ascii="Arial" w:hAnsi="Arial" w:cs="Arial"/>
          <w:color w:val="DDDAD6"/>
          <w:shd w:val="clear" w:color="auto" w:fill="181A1B"/>
        </w:rPr>
        <w:t>Различные виды ботов могут взаимодействовать для совершения крупномасштабной кражи личных данных, что является одним из наиболее быстро растущих преступлений. С помощью ботов можно маскироваться под известный бренд и просить пользователя предоставить личные данные, такие как пароль банковского счета, данные кредитной карты, данные о налогообложении.</w:t>
      </w:r>
      <w:r w:rsidRPr="00D3440E">
        <w:rPr>
          <w:rFonts w:ascii="Arial" w:hAnsi="Arial" w:cs="Arial"/>
          <w:color w:val="DDDAD6"/>
          <w:shd w:val="clear" w:color="auto" w:fill="181A1B"/>
        </w:rPr>
        <w:t xml:space="preserve"> </w:t>
      </w:r>
      <w:r>
        <w:rPr>
          <w:rFonts w:ascii="Arial" w:hAnsi="Arial" w:cs="Arial"/>
          <w:color w:val="DDDAD6"/>
          <w:shd w:val="clear" w:color="auto" w:fill="181A1B"/>
        </w:rPr>
        <w:t>Рекламное программное обеспечение используется для привлечения пользователей за счет рекламы на веб-страницах или в приложениях.</w:t>
      </w:r>
    </w:p>
    <w:p w:rsidR="00D3440E" w:rsidRPr="00165011" w:rsidRDefault="00D3440E" w:rsidP="00D3440E">
      <w:pPr>
        <w:tabs>
          <w:tab w:val="left" w:pos="0"/>
          <w:tab w:val="left" w:pos="418"/>
          <w:tab w:val="left" w:pos="567"/>
        </w:tabs>
        <w:kinsoku w:val="0"/>
        <w:overflowPunct w:val="0"/>
        <w:ind w:left="360"/>
        <w:textAlignment w:val="baseline"/>
        <w:rPr>
          <w:color w:val="FF0000"/>
          <w:sz w:val="28"/>
          <w:szCs w:val="28"/>
        </w:rPr>
      </w:pPr>
      <w:r w:rsidRPr="00165011">
        <w:rPr>
          <w:rFonts w:ascii="Times New Roman" w:hAnsi="Times New Roman" w:cs="Times New Roman"/>
          <w:color w:val="FF0000"/>
          <w:sz w:val="28"/>
          <w:szCs w:val="28"/>
        </w:rPr>
        <w:t xml:space="preserve">8. </w:t>
      </w:r>
      <w:r w:rsidRPr="00165011">
        <w:rPr>
          <w:rFonts w:eastAsiaTheme="minorEastAsia"/>
          <w:bCs/>
          <w:color w:val="FF0000"/>
          <w:kern w:val="24"/>
          <w:sz w:val="28"/>
          <w:szCs w:val="28"/>
        </w:rPr>
        <w:t>Возможные показатели уровня безопасности.</w:t>
      </w:r>
    </w:p>
    <w:p w:rsidR="00D3440E" w:rsidRDefault="00D3440E">
      <w:pPr>
        <w:rPr>
          <w:rFonts w:ascii="Times New Roman" w:hAnsi="Times New Roman" w:cs="Times New Roman"/>
          <w:sz w:val="28"/>
          <w:szCs w:val="28"/>
        </w:rPr>
      </w:pPr>
    </w:p>
    <w:p w:rsidR="00165011" w:rsidRDefault="00C802E4">
      <w:pPr>
        <w:rPr>
          <w:rFonts w:ascii="Times New Roman" w:hAnsi="Times New Roman" w:cs="Times New Roman"/>
          <w:sz w:val="28"/>
          <w:szCs w:val="28"/>
        </w:rPr>
      </w:pPr>
      <w:r w:rsidRPr="00C802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4BDB81" wp14:editId="7964DD7B">
            <wp:extent cx="4016629" cy="27066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315" cy="27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97" w:rsidRDefault="00EB3197">
      <w:pPr>
        <w:rPr>
          <w:rFonts w:ascii="Times New Roman" w:hAnsi="Times New Roman" w:cs="Times New Roman"/>
          <w:sz w:val="28"/>
          <w:szCs w:val="28"/>
        </w:rPr>
      </w:pPr>
    </w:p>
    <w:p w:rsidR="00EB3197" w:rsidRPr="00EB3197" w:rsidRDefault="00EB3197" w:rsidP="00EB3197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EB3197">
        <w:rPr>
          <w:color w:val="FF0000"/>
          <w:sz w:val="28"/>
          <w:szCs w:val="28"/>
          <w:lang w:val="ru-RU"/>
        </w:rPr>
        <w:t>Дезинформация как средство манипуляции в СМИ.</w:t>
      </w:r>
    </w:p>
    <w:p w:rsidR="00EB3197" w:rsidRPr="00EB3197" w:rsidRDefault="00EB3197" w:rsidP="00EB3197">
      <w:pPr>
        <w:pStyle w:val="a4"/>
        <w:ind w:left="375"/>
        <w:rPr>
          <w:sz w:val="28"/>
          <w:szCs w:val="28"/>
          <w:lang w:val="ru-RU"/>
        </w:rPr>
      </w:pPr>
    </w:p>
    <w:p w:rsidR="00EB3197" w:rsidRDefault="00EB3197">
      <w:pPr>
        <w:rPr>
          <w:rFonts w:ascii="Times New Roman" w:hAnsi="Times New Roman" w:cs="Times New Roman"/>
          <w:sz w:val="28"/>
          <w:szCs w:val="28"/>
        </w:rPr>
      </w:pPr>
      <w:r w:rsidRPr="00EB31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75E83E" wp14:editId="513B3E11">
            <wp:extent cx="4296375" cy="514421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97" w:rsidRDefault="00EB3197">
      <w:pPr>
        <w:rPr>
          <w:rFonts w:ascii="Times New Roman" w:hAnsi="Times New Roman" w:cs="Times New Roman"/>
          <w:sz w:val="28"/>
          <w:szCs w:val="28"/>
        </w:rPr>
      </w:pPr>
    </w:p>
    <w:p w:rsidR="00EB3197" w:rsidRDefault="00EB3197">
      <w:pPr>
        <w:rPr>
          <w:rFonts w:ascii="Times New Roman" w:hAnsi="Times New Roman" w:cs="Times New Roman"/>
          <w:sz w:val="28"/>
          <w:szCs w:val="28"/>
        </w:rPr>
      </w:pPr>
    </w:p>
    <w:p w:rsidR="00165011" w:rsidRPr="00165011" w:rsidRDefault="00165011" w:rsidP="00165011">
      <w:pPr>
        <w:rPr>
          <w:color w:val="FF0000"/>
          <w:sz w:val="28"/>
          <w:szCs w:val="28"/>
        </w:rPr>
      </w:pPr>
      <w:r w:rsidRPr="00165011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EB3197">
        <w:rPr>
          <w:rFonts w:ascii="Times New Roman" w:hAnsi="Times New Roman" w:cs="Times New Roman"/>
          <w:color w:val="FF0000"/>
          <w:sz w:val="28"/>
          <w:szCs w:val="28"/>
          <w:lang w:val="en-US"/>
        </w:rPr>
        <w:t>2</w:t>
      </w:r>
      <w:r w:rsidRPr="00165011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Pr="00165011">
        <w:rPr>
          <w:color w:val="FF0000"/>
          <w:sz w:val="28"/>
          <w:szCs w:val="28"/>
        </w:rPr>
        <w:t>Интернет-мемы. Примеры.</w:t>
      </w:r>
    </w:p>
    <w:p w:rsidR="00165011" w:rsidRDefault="00165011" w:rsidP="00165011">
      <w:pPr>
        <w:rPr>
          <w:sz w:val="28"/>
          <w:szCs w:val="28"/>
        </w:rPr>
      </w:pPr>
      <w:r w:rsidRPr="00165011">
        <w:rPr>
          <w:sz w:val="28"/>
          <w:szCs w:val="28"/>
        </w:rPr>
        <w:t>Интернет-мем— информация в той или иной форме, как правило, остроумная и ироническая, спонтанно приобретающая популярность, распространяясь в Интернете разнообразными способами (посредством социальных сетей, форумов, блогов, мессенджеров и пр.). Обозначает также явление спонтанного распространения такой информации или фразы.</w:t>
      </w:r>
    </w:p>
    <w:p w:rsidR="00165011" w:rsidRDefault="00165011" w:rsidP="00165011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</w:t>
      </w:r>
    </w:p>
    <w:p w:rsidR="00165011" w:rsidRPr="00165011" w:rsidRDefault="00165011" w:rsidP="00165011">
      <w:pPr>
        <w:rPr>
          <w:sz w:val="28"/>
          <w:szCs w:val="28"/>
          <w:lang w:val="en-US"/>
        </w:rPr>
      </w:pPr>
      <w:r w:rsidRPr="00165011">
        <w:rPr>
          <w:sz w:val="28"/>
          <w:szCs w:val="28"/>
          <w:lang w:val="en-US"/>
        </w:rPr>
        <w:drawing>
          <wp:inline distT="0" distB="0" distL="0" distR="0" wp14:anchorId="03980CD7" wp14:editId="4E20C9D7">
            <wp:extent cx="5940425" cy="6413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97" w:rsidRDefault="00EB3197" w:rsidP="00EB3197">
      <w:pPr>
        <w:rPr>
          <w:color w:val="FF0000"/>
          <w:sz w:val="28"/>
          <w:szCs w:val="28"/>
        </w:rPr>
      </w:pPr>
      <w:r w:rsidRPr="00EB3197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1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4</w:t>
      </w:r>
      <w:r w:rsidRPr="00EB3197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r w:rsidRPr="00EB3197">
        <w:rPr>
          <w:color w:val="FF0000"/>
          <w:sz w:val="28"/>
          <w:szCs w:val="28"/>
        </w:rPr>
        <w:t xml:space="preserve"> </w:t>
      </w:r>
      <w:r w:rsidRPr="00EB3197">
        <w:rPr>
          <w:color w:val="FF0000"/>
          <w:sz w:val="28"/>
          <w:szCs w:val="28"/>
        </w:rPr>
        <w:t>Информационная война.</w:t>
      </w:r>
    </w:p>
    <w:p w:rsidR="00EB3197" w:rsidRDefault="00EB3197" w:rsidP="00EB3197">
      <w:pPr>
        <w:rPr>
          <w:color w:val="FF0000"/>
          <w:sz w:val="28"/>
          <w:szCs w:val="28"/>
        </w:rPr>
      </w:pPr>
      <w:r w:rsidRPr="00EB3197">
        <w:rPr>
          <w:color w:val="FF0000"/>
          <w:sz w:val="28"/>
          <w:szCs w:val="28"/>
        </w:rPr>
        <w:drawing>
          <wp:inline distT="0" distB="0" distL="0" distR="0" wp14:anchorId="1BC94583" wp14:editId="38F90050">
            <wp:extent cx="4313949" cy="195430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349" cy="196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E4" w:rsidRDefault="00C802E4" w:rsidP="00C802E4">
      <w:pPr>
        <w:rPr>
          <w:color w:val="FF0000"/>
          <w:sz w:val="28"/>
          <w:szCs w:val="28"/>
        </w:rPr>
      </w:pPr>
      <w:r w:rsidRPr="00C802E4">
        <w:rPr>
          <w:color w:val="FF0000"/>
          <w:sz w:val="28"/>
          <w:szCs w:val="28"/>
        </w:rPr>
        <w:t xml:space="preserve">18. </w:t>
      </w:r>
      <w:r w:rsidRPr="00C802E4">
        <w:rPr>
          <w:color w:val="FF0000"/>
          <w:sz w:val="28"/>
          <w:szCs w:val="28"/>
        </w:rPr>
        <w:t>Классификация хакеров как нарушителей информационной безопасности.</w:t>
      </w:r>
      <w:r>
        <w:rPr>
          <w:color w:val="FF0000"/>
          <w:sz w:val="28"/>
          <w:szCs w:val="28"/>
        </w:rPr>
        <w:t xml:space="preserve"> </w:t>
      </w:r>
    </w:p>
    <w:p w:rsidR="00C802E4" w:rsidRDefault="00C802E4" w:rsidP="00C802E4">
      <w:pPr>
        <w:rPr>
          <w:color w:val="FF0000"/>
          <w:sz w:val="28"/>
          <w:szCs w:val="28"/>
        </w:rPr>
      </w:pPr>
      <w:r w:rsidRPr="00C802E4">
        <w:rPr>
          <w:color w:val="FF0000"/>
          <w:sz w:val="28"/>
          <w:szCs w:val="28"/>
        </w:rPr>
        <w:drawing>
          <wp:inline distT="0" distB="0" distL="0" distR="0" wp14:anchorId="4BEBCC32" wp14:editId="1FFE46CB">
            <wp:extent cx="4695308" cy="21541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631" cy="21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02E4" w:rsidRPr="00C802E4" w:rsidRDefault="00C802E4" w:rsidP="00C802E4">
      <w:pPr>
        <w:rPr>
          <w:color w:val="FF0000"/>
          <w:sz w:val="28"/>
          <w:szCs w:val="28"/>
        </w:rPr>
      </w:pPr>
    </w:p>
    <w:p w:rsidR="00EB3197" w:rsidRPr="00C802E4" w:rsidRDefault="00EB3197" w:rsidP="00EB3197">
      <w:pPr>
        <w:rPr>
          <w:color w:val="FF0000"/>
          <w:sz w:val="28"/>
          <w:szCs w:val="28"/>
        </w:rPr>
      </w:pPr>
    </w:p>
    <w:p w:rsidR="00165011" w:rsidRPr="00C802E4" w:rsidRDefault="00165011">
      <w:pPr>
        <w:rPr>
          <w:rFonts w:ascii="Times New Roman" w:hAnsi="Times New Roman" w:cs="Times New Roman"/>
          <w:sz w:val="28"/>
          <w:szCs w:val="28"/>
        </w:rPr>
      </w:pPr>
    </w:p>
    <w:sectPr w:rsidR="00165011" w:rsidRPr="00C80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24DDA"/>
    <w:multiLevelType w:val="hybridMultilevel"/>
    <w:tmpl w:val="3CFCE35A"/>
    <w:lvl w:ilvl="0" w:tplc="E42AE15C">
      <w:start w:val="10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ED03F1"/>
    <w:multiLevelType w:val="hybridMultilevel"/>
    <w:tmpl w:val="CE32EC84"/>
    <w:lvl w:ilvl="0" w:tplc="F0045B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0E"/>
    <w:rsid w:val="00165011"/>
    <w:rsid w:val="00302AAA"/>
    <w:rsid w:val="00C802E4"/>
    <w:rsid w:val="00D3440E"/>
    <w:rsid w:val="00EB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1B78"/>
  <w15:chartTrackingRefBased/>
  <w15:docId w15:val="{01984F29-5C63-4F3F-BF25-1C40882B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44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344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Quid_pro_qu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2021-11-23T17:28:00Z</dcterms:created>
  <dcterms:modified xsi:type="dcterms:W3CDTF">2021-11-23T18:06:00Z</dcterms:modified>
</cp:coreProperties>
</file>