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77777777" w:rsidR="00170D8D" w:rsidRDefault="00170D8D" w:rsidP="00170D8D">
      <w:pPr>
        <w:pStyle w:val="DLIST"/>
        <w:ind w:left="397" w:hanging="397"/>
      </w:pPr>
      <w:r w:rsidRPr="00FE4C03">
        <w:t>Перечень условных обозначений, символов и терминов</w:t>
      </w:r>
      <w:r w:rsidRPr="004D1F53">
        <w:tab/>
        <w:t>6</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1D042F">
        <w:rPr>
          <w:highlight w:val="yellow"/>
        </w:rPr>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2.4 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51C30AB8" w:rsidR="00010B5D" w:rsidRDefault="00010B5D" w:rsidP="00010B5D">
      <w:pPr>
        <w:pStyle w:val="DLIST"/>
        <w:ind w:left="681" w:firstLine="28"/>
      </w:pPr>
      <w:r>
        <w:t>неоднородности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ы по разделу 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5844D656" w:rsidR="001D042F" w:rsidRPr="001D042F" w:rsidRDefault="001D042F" w:rsidP="001D042F">
            <w:pPr>
              <w:pStyle w:val="DBASE"/>
              <w:ind w:firstLine="0"/>
            </w:pPr>
            <w:r>
              <w:t>ВОСП</w:t>
            </w:r>
          </w:p>
        </w:tc>
        <w:tc>
          <w:tcPr>
            <w:tcW w:w="6519" w:type="dxa"/>
          </w:tcPr>
          <w:p w14:paraId="75A3A46C" w14:textId="63DF8D36" w:rsidR="001D042F" w:rsidRPr="00680D41" w:rsidRDefault="001D042F" w:rsidP="001D042F">
            <w:pPr>
              <w:pStyle w:val="DBASE"/>
              <w:ind w:firstLine="0"/>
            </w:pPr>
            <w:r>
              <w:t>Волоконно-оптические системы передачи</w:t>
            </w:r>
          </w:p>
        </w:tc>
      </w:tr>
      <w:tr w:rsidR="001D042F" w14:paraId="025E6495" w14:textId="77777777" w:rsidTr="00170D8D">
        <w:trPr>
          <w:trHeight w:val="454"/>
        </w:trPr>
        <w:tc>
          <w:tcPr>
            <w:tcW w:w="2835" w:type="dxa"/>
          </w:tcPr>
          <w:p w14:paraId="63C838FE" w14:textId="27BDB406" w:rsidR="001D042F" w:rsidRDefault="001D042F" w:rsidP="001D042F">
            <w:pPr>
              <w:pStyle w:val="DBASE"/>
              <w:ind w:firstLine="0"/>
            </w:pPr>
            <w:r>
              <w:t>ОВ</w:t>
            </w:r>
          </w:p>
        </w:tc>
        <w:tc>
          <w:tcPr>
            <w:tcW w:w="6519" w:type="dxa"/>
          </w:tcPr>
          <w:p w14:paraId="133F66FB" w14:textId="33B003F4" w:rsidR="001D042F" w:rsidRDefault="001D042F" w:rsidP="001D042F">
            <w:pPr>
              <w:pStyle w:val="DBASE"/>
              <w:ind w:firstLine="0"/>
            </w:pPr>
            <w:r>
              <w:t>Оптическое волокно</w:t>
            </w:r>
          </w:p>
        </w:tc>
      </w:tr>
      <w:tr w:rsidR="001D042F" w14:paraId="4588460D" w14:textId="77777777" w:rsidTr="00170D8D">
        <w:trPr>
          <w:trHeight w:val="454"/>
        </w:trPr>
        <w:tc>
          <w:tcPr>
            <w:tcW w:w="2835" w:type="dxa"/>
          </w:tcPr>
          <w:p w14:paraId="5255BC0A" w14:textId="14443303" w:rsidR="001D042F" w:rsidRDefault="001D042F" w:rsidP="001D042F">
            <w:pPr>
              <w:pStyle w:val="DBASE"/>
              <w:ind w:firstLine="0"/>
            </w:pPr>
            <w:r>
              <w:t>ОУ</w:t>
            </w:r>
          </w:p>
        </w:tc>
        <w:tc>
          <w:tcPr>
            <w:tcW w:w="6519" w:type="dxa"/>
          </w:tcPr>
          <w:p w14:paraId="3E1BA4A6" w14:textId="58E2E8A9" w:rsidR="001D042F" w:rsidRPr="000D0CE7" w:rsidRDefault="001D042F" w:rsidP="001D042F">
            <w:pPr>
              <w:pStyle w:val="DBASE"/>
              <w:ind w:firstLine="0"/>
            </w:pPr>
            <w:r>
              <w:t>Оптический усилитель</w:t>
            </w:r>
          </w:p>
        </w:tc>
      </w:tr>
      <w:tr w:rsidR="001D042F" w:rsidRPr="00170D8D" w14:paraId="6F30D46C" w14:textId="77777777" w:rsidTr="00170D8D">
        <w:trPr>
          <w:trHeight w:val="454"/>
        </w:trPr>
        <w:tc>
          <w:tcPr>
            <w:tcW w:w="2835" w:type="dxa"/>
          </w:tcPr>
          <w:p w14:paraId="17F44115" w14:textId="197D0269" w:rsidR="001D042F" w:rsidRPr="001D042F" w:rsidRDefault="001D042F" w:rsidP="001D042F">
            <w:pPr>
              <w:pStyle w:val="DBASE"/>
              <w:ind w:firstLine="0"/>
            </w:pPr>
          </w:p>
        </w:tc>
        <w:tc>
          <w:tcPr>
            <w:tcW w:w="6519" w:type="dxa"/>
          </w:tcPr>
          <w:p w14:paraId="10718CBC" w14:textId="667B0BB5" w:rsidR="001D042F" w:rsidRPr="001D042F" w:rsidRDefault="001D042F" w:rsidP="001D042F">
            <w:pPr>
              <w:pStyle w:val="DBASE"/>
              <w:ind w:firstLine="0"/>
            </w:pPr>
          </w:p>
        </w:tc>
      </w:tr>
      <w:tr w:rsidR="001D042F" w:rsidRPr="00170D8D" w14:paraId="5E1B890C" w14:textId="77777777" w:rsidTr="00170D8D">
        <w:trPr>
          <w:trHeight w:val="454"/>
        </w:trPr>
        <w:tc>
          <w:tcPr>
            <w:tcW w:w="2835" w:type="dxa"/>
          </w:tcPr>
          <w:p w14:paraId="3F52220E" w14:textId="3A65CAE7" w:rsidR="001D042F" w:rsidRDefault="001D042F" w:rsidP="001D042F">
            <w:pPr>
              <w:pStyle w:val="DBASE"/>
              <w:ind w:firstLine="0"/>
              <w:rPr>
                <w:lang w:val="en-US"/>
              </w:rPr>
            </w:pPr>
          </w:p>
        </w:tc>
        <w:tc>
          <w:tcPr>
            <w:tcW w:w="6519" w:type="dxa"/>
          </w:tcPr>
          <w:p w14:paraId="4CF13F70" w14:textId="12394702" w:rsidR="001D042F" w:rsidRPr="000D0CE7" w:rsidRDefault="001D042F" w:rsidP="001D042F">
            <w:pPr>
              <w:pStyle w:val="DBASE"/>
              <w:ind w:firstLine="0"/>
              <w:rPr>
                <w:lang w:val="en-US"/>
              </w:rPr>
            </w:pPr>
          </w:p>
        </w:tc>
      </w:tr>
      <w:tr w:rsidR="001D042F" w14:paraId="2A5008C5" w14:textId="77777777" w:rsidTr="00170D8D">
        <w:trPr>
          <w:trHeight w:val="454"/>
        </w:trPr>
        <w:tc>
          <w:tcPr>
            <w:tcW w:w="2835" w:type="dxa"/>
          </w:tcPr>
          <w:p w14:paraId="616577A3" w14:textId="3D78D524" w:rsidR="001D042F" w:rsidRDefault="001D042F" w:rsidP="001D042F">
            <w:pPr>
              <w:pStyle w:val="DBASE"/>
              <w:ind w:firstLine="0"/>
              <w:rPr>
                <w:lang w:val="en-US"/>
              </w:rPr>
            </w:pPr>
          </w:p>
        </w:tc>
        <w:tc>
          <w:tcPr>
            <w:tcW w:w="6519" w:type="dxa"/>
          </w:tcPr>
          <w:p w14:paraId="0CAB7FBC" w14:textId="6E25DC14" w:rsidR="001D042F" w:rsidRPr="00C45DA2" w:rsidRDefault="001D042F" w:rsidP="001D042F">
            <w:pPr>
              <w:pStyle w:val="DBASE"/>
              <w:ind w:firstLine="0"/>
            </w:pPr>
          </w:p>
        </w:tc>
      </w:tr>
      <w:tr w:rsidR="001D042F" w14:paraId="44F309B0" w14:textId="77777777" w:rsidTr="00170D8D">
        <w:trPr>
          <w:trHeight w:val="454"/>
        </w:trPr>
        <w:tc>
          <w:tcPr>
            <w:tcW w:w="2835" w:type="dxa"/>
          </w:tcPr>
          <w:p w14:paraId="5B6D2D41" w14:textId="0830A28D" w:rsidR="001D042F" w:rsidRDefault="001D042F" w:rsidP="001D042F">
            <w:pPr>
              <w:pStyle w:val="DBASE"/>
              <w:ind w:firstLine="0"/>
              <w:rPr>
                <w:lang w:val="en-US"/>
              </w:rPr>
            </w:pPr>
          </w:p>
        </w:tc>
        <w:tc>
          <w:tcPr>
            <w:tcW w:w="6519" w:type="dxa"/>
          </w:tcPr>
          <w:p w14:paraId="066DFF97" w14:textId="5F9592E1" w:rsidR="001D042F" w:rsidRDefault="001D042F" w:rsidP="001D042F">
            <w:pPr>
              <w:pStyle w:val="DBASE"/>
              <w:ind w:firstLine="0"/>
            </w:pPr>
          </w:p>
        </w:tc>
      </w:tr>
      <w:tr w:rsidR="001D042F" w14:paraId="7F3E39EF" w14:textId="77777777" w:rsidTr="00170D8D">
        <w:trPr>
          <w:trHeight w:val="454"/>
        </w:trPr>
        <w:tc>
          <w:tcPr>
            <w:tcW w:w="2835" w:type="dxa"/>
          </w:tcPr>
          <w:p w14:paraId="3AC789DE" w14:textId="2DDB6FE9" w:rsidR="001D042F" w:rsidRDefault="001D042F" w:rsidP="001D042F">
            <w:pPr>
              <w:pStyle w:val="DBASE"/>
              <w:ind w:firstLine="0"/>
              <w:rPr>
                <w:lang w:val="en-US"/>
              </w:rPr>
            </w:pPr>
          </w:p>
        </w:tc>
        <w:tc>
          <w:tcPr>
            <w:tcW w:w="6519" w:type="dxa"/>
          </w:tcPr>
          <w:p w14:paraId="1400D6D4" w14:textId="4CD8A269" w:rsidR="001D042F" w:rsidRDefault="001D042F" w:rsidP="001D042F">
            <w:pPr>
              <w:pStyle w:val="DBASE"/>
              <w:ind w:firstLine="0"/>
            </w:pPr>
          </w:p>
        </w:tc>
      </w:tr>
      <w:tr w:rsidR="001D042F" w:rsidRPr="006D2CB0" w14:paraId="56872563" w14:textId="77777777" w:rsidTr="00170D8D">
        <w:trPr>
          <w:trHeight w:val="454"/>
        </w:trPr>
        <w:tc>
          <w:tcPr>
            <w:tcW w:w="2835" w:type="dxa"/>
          </w:tcPr>
          <w:p w14:paraId="11418B80" w14:textId="77777777" w:rsidR="001D042F" w:rsidRPr="006D2CB0" w:rsidRDefault="001D042F" w:rsidP="001D042F">
            <w:pPr>
              <w:pStyle w:val="DBASE"/>
              <w:ind w:firstLine="0"/>
            </w:pPr>
          </w:p>
        </w:tc>
        <w:tc>
          <w:tcPr>
            <w:tcW w:w="6519" w:type="dxa"/>
          </w:tcPr>
          <w:p w14:paraId="1A9162C7" w14:textId="77777777" w:rsidR="001D042F" w:rsidRPr="006D2CB0" w:rsidRDefault="001D042F" w:rsidP="001D042F">
            <w:pPr>
              <w:pStyle w:val="DBASE"/>
              <w:ind w:firstLine="0"/>
            </w:pPr>
          </w:p>
        </w:tc>
      </w:tr>
      <w:tr w:rsidR="001D042F" w:rsidRPr="00FE4C03" w14:paraId="7A5D41A7" w14:textId="77777777" w:rsidTr="00170D8D">
        <w:trPr>
          <w:trHeight w:val="454"/>
        </w:trPr>
        <w:tc>
          <w:tcPr>
            <w:tcW w:w="2835" w:type="dxa"/>
          </w:tcPr>
          <w:p w14:paraId="19B2308B" w14:textId="77777777" w:rsidR="001D042F" w:rsidRPr="006D2CB0" w:rsidRDefault="001D042F" w:rsidP="001D042F">
            <w:pPr>
              <w:pStyle w:val="DBASE"/>
              <w:ind w:firstLine="0"/>
            </w:pPr>
          </w:p>
        </w:tc>
        <w:tc>
          <w:tcPr>
            <w:tcW w:w="6519" w:type="dxa"/>
          </w:tcPr>
          <w:p w14:paraId="63FCF559" w14:textId="77777777" w:rsidR="001D042F" w:rsidRPr="00FE4C03" w:rsidRDefault="001D042F" w:rsidP="001D042F">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D09987"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(ОВ),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p>
    <w:p w14:paraId="065275CA" w14:textId="78FB8351" w:rsidR="00A360EB" w:rsidRDefault="00A360EB" w:rsidP="00170D8D">
      <w:pPr>
        <w:pStyle w:val="DBASE"/>
        <w:rPr>
          <w:color w:val="FF0000"/>
        </w:rPr>
      </w:pPr>
      <w:r w:rsidRPr="00A360EB">
        <w:rPr>
          <w:color w:val="FF0000"/>
        </w:rPr>
        <w:t>Принято считать, что в отличие от медных кабелей, с оптического волокна (ОВ) невозможно осуществить несанкционированный съем данных (НСД). Исследования в данной области доказали обратное. Распространяясь по ОВ, оптический сигнал теряет часть своей мощности, что происходит в силу процесса рассеяния излучения на неоднородностях и поглощения материалом ОВ. Потеря оптической мощности будет также наблюдаться при внешнем воздействии на ОВ. При проектировании ВОЛС закладывается энергетический запас, который позволяет компенсировать увеличение затухания вследствие старения компонентов, восстановительных и других работ. Определенным образом воздействуя на ОВ, имеется возможность получить часть оптического излучения, распространяющегося по ОВ.</w:t>
      </w:r>
    </w:p>
    <w:p w14:paraId="0F35FDD1" w14:textId="77777777" w:rsidR="00697B23" w:rsidRPr="00697B23" w:rsidRDefault="00697B23" w:rsidP="00697B23">
      <w:pPr>
        <w:pStyle w:val="DBASE"/>
        <w:rPr>
          <w:color w:val="FF0000"/>
        </w:rPr>
      </w:pPr>
      <w:r w:rsidRPr="00697B23">
        <w:rPr>
          <w:color w:val="FF0000"/>
        </w:rPr>
        <w:t>В наше время наиболее эффективной и перспективной передающей средой являет­ся волоконно-оптический кабель, с помощью которого образуются волоконно-опти­ческие системы передачи информации, получившие в настоящее время широкое рас­пространение. Информация по такому кабелю передается в виде пульсирующего светового потока, на который практически не влияют электрические и магнитные по­мехи. Кроме того, трудность перехвата информации, проходящей по волоконно-опти­ческому кабелю, повышает безопасность связи. Такой кабель обеспечивает передачу данных на большие расстояния со скоростью до десятков гигабит в секунду и исполь­зуется, в основном, в протяженных магистральных линиях связи. Оптоволокно при­меняется и для построения компьютерных сетей с высокой пропускной способностью.</w:t>
      </w:r>
    </w:p>
    <w:p w14:paraId="2556ECA5" w14:textId="77777777" w:rsidR="00697B23" w:rsidRPr="00697B23" w:rsidRDefault="00697B23" w:rsidP="00697B23">
      <w:pPr>
        <w:pStyle w:val="DBASE"/>
        <w:rPr>
          <w:color w:val="FF0000"/>
        </w:rPr>
      </w:pPr>
    </w:p>
    <w:p w14:paraId="12C12A22" w14:textId="77777777" w:rsidR="00697B23" w:rsidRPr="00697B23" w:rsidRDefault="00697B23" w:rsidP="00697B23">
      <w:pPr>
        <w:pStyle w:val="DBASE"/>
        <w:rPr>
          <w:color w:val="FF0000"/>
        </w:rPr>
      </w:pPr>
      <w:r w:rsidRPr="00697B23">
        <w:rPr>
          <w:color w:val="FF0000"/>
        </w:rPr>
        <w:t>В отличие от металлических кабелей связи, в которых переносчиком информации является электрический ток, в оптоволокне этим целям служит поток фотонов в ди­электрике высокой прозрачности (в сверхчистом кварце или полимерных материалах). Они являются хорошими диэлектриками, вследствие чего оптические волокна, а зна­чит, и оптоволоконные кабели не чувствительны к электромагнитным помехам. Кро­ме того, они значительно устойчивее к различным агрессивным химическим средам, чем металлические кабели.</w:t>
      </w:r>
    </w:p>
    <w:p w14:paraId="177A0E51" w14:textId="77777777" w:rsidR="00697B23" w:rsidRPr="00697B23" w:rsidRDefault="00697B23" w:rsidP="00697B23">
      <w:pPr>
        <w:pStyle w:val="DBASE"/>
        <w:rPr>
          <w:color w:val="FF0000"/>
        </w:rPr>
      </w:pPr>
    </w:p>
    <w:p w14:paraId="4083FED9" w14:textId="77777777" w:rsidR="00697B23" w:rsidRPr="00697B23" w:rsidRDefault="00697B23" w:rsidP="00697B23">
      <w:pPr>
        <w:pStyle w:val="DBASE"/>
        <w:rPr>
          <w:color w:val="FF0000"/>
        </w:rPr>
      </w:pPr>
      <w:r w:rsidRPr="00697B23">
        <w:rPr>
          <w:color w:val="FF0000"/>
        </w:rPr>
        <w:t xml:space="preserve">При равных диаметрах оптические кабели имеют большее, чем кабели других ви­дов, количество информационно-проводящих жил, так как диаметр </w:t>
      </w:r>
      <w:proofErr w:type="spellStart"/>
      <w:r w:rsidRPr="00697B23">
        <w:rPr>
          <w:color w:val="FF0000"/>
        </w:rPr>
        <w:t>световодов</w:t>
      </w:r>
      <w:proofErr w:type="spellEnd"/>
      <w:r w:rsidRPr="00697B23">
        <w:rPr>
          <w:color w:val="FF0000"/>
        </w:rPr>
        <w:t xml:space="preserve"> вместе с защитной оболочкой составляет не более 250 мкм. Благодаря малому затуханию световой энергии в </w:t>
      </w:r>
      <w:proofErr w:type="spellStart"/>
      <w:r w:rsidRPr="00697B23">
        <w:rPr>
          <w:color w:val="FF0000"/>
        </w:rPr>
        <w:t>световоде</w:t>
      </w:r>
      <w:proofErr w:type="spellEnd"/>
      <w:r w:rsidRPr="00697B23">
        <w:rPr>
          <w:color w:val="FF0000"/>
        </w:rPr>
        <w:t xml:space="preserve"> и незначительному искажению формы сигналов оптово­локонные кабели могут быть намного большей длины, чем металлические.</w:t>
      </w:r>
    </w:p>
    <w:p w14:paraId="22D49C9E" w14:textId="77777777" w:rsidR="00697B23" w:rsidRPr="00697B23" w:rsidRDefault="00697B23" w:rsidP="00697B23">
      <w:pPr>
        <w:pStyle w:val="DBASE"/>
        <w:rPr>
          <w:color w:val="FF0000"/>
        </w:rPr>
      </w:pPr>
    </w:p>
    <w:p w14:paraId="51892A05" w14:textId="77777777" w:rsidR="00697B23" w:rsidRPr="00697B23" w:rsidRDefault="00697B23" w:rsidP="00697B23">
      <w:pPr>
        <w:pStyle w:val="DBASE"/>
        <w:rPr>
          <w:color w:val="FF0000"/>
        </w:rPr>
      </w:pPr>
      <w:r w:rsidRPr="00697B23">
        <w:rPr>
          <w:color w:val="FF0000"/>
        </w:rPr>
        <w:t xml:space="preserve">Несанкционированное подключение возможно и к волоконно-оптическим линиям связи. Задача эта не простая, </w:t>
      </w:r>
      <w:proofErr w:type="gramStart"/>
      <w:r w:rsidRPr="00697B23">
        <w:rPr>
          <w:color w:val="FF0000"/>
        </w:rPr>
        <w:t>но возможно</w:t>
      </w:r>
      <w:proofErr w:type="gramEnd"/>
      <w:r w:rsidRPr="00697B23">
        <w:rPr>
          <w:color w:val="FF0000"/>
        </w:rPr>
        <w:t xml:space="preserve"> кон­тактное и бесконтактное подключение.</w:t>
      </w:r>
    </w:p>
    <w:p w14:paraId="161DECBE" w14:textId="77777777" w:rsidR="00697B23" w:rsidRPr="00697B23" w:rsidRDefault="00697B23" w:rsidP="00697B23">
      <w:pPr>
        <w:pStyle w:val="DBASE"/>
        <w:rPr>
          <w:color w:val="FF0000"/>
        </w:rPr>
      </w:pPr>
    </w:p>
    <w:p w14:paraId="150FF038" w14:textId="77777777" w:rsidR="00697B23" w:rsidRPr="00697B23" w:rsidRDefault="00697B23" w:rsidP="00697B23">
      <w:pPr>
        <w:pStyle w:val="DBASE"/>
        <w:rPr>
          <w:color w:val="FF0000"/>
        </w:rPr>
      </w:pPr>
      <w:r w:rsidRPr="00697B23">
        <w:rPr>
          <w:color w:val="FF0000"/>
        </w:rPr>
        <w:t>Для контактного подключения удаляют защитные слои кабеля, стравливают свето­отражающую оболочку и изгибают оптический кабель под углом, необходимым для снятия информации. При таком подключении к волоконно-оптической линии связи обнаружить утечку информации за счет ослабления мощ­ности излучения бывает очень трудно. Это связано с тем, что чувствительность существующих приемных устройств в процессе несанкционированного доступа обеспечивает съем необходимой информации при отборе всего 0,001% передаваемой мощности, а дополнительные потери при из­гибе кабеля находятся в пределах дБ в зависимос­ти от угла изгиба кабеля.</w:t>
      </w:r>
    </w:p>
    <w:p w14:paraId="1F7F5ADB" w14:textId="77777777" w:rsidR="00697B23" w:rsidRPr="00697B23" w:rsidRDefault="00697B23" w:rsidP="00697B23">
      <w:pPr>
        <w:pStyle w:val="DBASE"/>
        <w:rPr>
          <w:color w:val="FF0000"/>
        </w:rPr>
      </w:pPr>
    </w:p>
    <w:p w14:paraId="63E9C498" w14:textId="5D538E78" w:rsidR="00697B23" w:rsidRDefault="00697B23" w:rsidP="00697B23">
      <w:pPr>
        <w:pStyle w:val="DBASE"/>
        <w:rPr>
          <w:color w:val="FF0000"/>
        </w:rPr>
      </w:pPr>
      <w:r w:rsidRPr="00697B23">
        <w:rPr>
          <w:color w:val="FF0000"/>
        </w:rPr>
        <w:t xml:space="preserve">Для бесконтактного подключения в волоконно-оптическую линию связи в каче­стве элемента съема светового сигнала используется стеклянная трубка, заполненная жидкостью с высоким преломления и с изогнутым концом, жестко фик­сированная на оптическом кабеле, с которого предварительно снята экранная оболоч­ка. На отогнутом конце трубки устанавливается объектив, фокусирующий световой поток на фотодиод, уже с которого </w:t>
      </w:r>
      <w:r w:rsidRPr="00697B23">
        <w:rPr>
          <w:color w:val="FF0000"/>
        </w:rPr>
        <w:lastRenderedPageBreak/>
        <w:t>электрические сигналы поступают на усилитель сигналов, усиливающий их до необходимого уровня.</w:t>
      </w:r>
      <w:r>
        <w:rPr>
          <w:color w:val="FF0000"/>
        </w:rPr>
        <w:t>***********************</w:t>
      </w:r>
    </w:p>
    <w:p w14:paraId="6F781094" w14:textId="374C5480" w:rsidR="00170D8D" w:rsidRPr="0088344B" w:rsidRDefault="00170D8D" w:rsidP="00170D8D">
      <w:pPr>
        <w:pStyle w:val="DBASE"/>
        <w:rPr>
          <w:color w:val="FF0000"/>
        </w:rPr>
      </w:pPr>
      <w:r w:rsidRPr="0088344B">
        <w:rPr>
          <w:color w:val="FF0000"/>
        </w:rPr>
        <w:t xml:space="preserve">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и несанкционированного доступа к информации.</w:t>
      </w:r>
    </w:p>
    <w:p w14:paraId="6C20EAA2" w14:textId="77777777" w:rsidR="00170D8D" w:rsidRPr="0088344B" w:rsidRDefault="00170D8D" w:rsidP="00170D8D">
      <w:pPr>
        <w:pStyle w:val="DBASE"/>
        <w:rPr>
          <w:color w:val="FF0000"/>
        </w:rPr>
      </w:pPr>
      <w:r w:rsidRPr="0088344B">
        <w:rPr>
          <w:color w:val="FF0000"/>
        </w:rP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45D64635" w14:textId="77777777" w:rsidR="00170D8D" w:rsidRPr="0088344B" w:rsidRDefault="00170D8D" w:rsidP="00170D8D">
      <w:pPr>
        <w:pStyle w:val="DBASE"/>
        <w:rPr>
          <w:color w:val="FF0000"/>
        </w:rPr>
      </w:pPr>
      <w:r w:rsidRPr="0088344B">
        <w:rPr>
          <w:color w:val="FF0000"/>
        </w:rPr>
        <w:t>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информации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злоумышленнику, внедренному в организацию, распространить данные за пределы внутренней сети.</w:t>
      </w:r>
    </w:p>
    <w:p w14:paraId="485034BF" w14:textId="77777777" w:rsidR="00170D8D" w:rsidRPr="0088344B" w:rsidRDefault="00170D8D" w:rsidP="00170D8D">
      <w:pPr>
        <w:pStyle w:val="DBASE"/>
        <w:rPr>
          <w:color w:val="FF0000"/>
        </w:rPr>
      </w:pPr>
      <w:r w:rsidRPr="0088344B">
        <w:rPr>
          <w:color w:val="FF0000"/>
        </w:rPr>
        <w:t>Изоляция сети – наиболее эффективный метод борьбы с утечками. Даже в случае полной компрометации внутренней сети, злоумышленник не сможет передать конфиденциальные данные за пределы локальной сети. К сожалению, даже полностью изолированная система нуждается в доступе во внешний мир для выполнения своих функций. Данную проблему можно решить посредством физических накопителей, однако подобное решение не дает гарантий того, что данный накопитель не станет хранилищем конфиденциальной информации из внутренней сети, создавая возможность потери данных.</w:t>
      </w:r>
    </w:p>
    <w:p w14:paraId="480466E4" w14:textId="77777777" w:rsidR="00170D8D" w:rsidRPr="0088344B" w:rsidRDefault="00170D8D" w:rsidP="00170D8D">
      <w:pPr>
        <w:pStyle w:val="DBASE"/>
        <w:rPr>
          <w:color w:val="FF0000"/>
        </w:rPr>
      </w:pPr>
      <w:r w:rsidRPr="0088344B">
        <w:rPr>
          <w:color w:val="FF0000"/>
        </w:rPr>
        <w:t>Для решения проблемы невозможности работы полностью изолированной сети используют методы однонаправленной передачи данных. Термин «Диод данных»</w:t>
      </w:r>
      <w:r w:rsidRPr="0088344B">
        <w:rPr>
          <w:color w:val="FF0000"/>
          <w:vertAlign w:val="superscript"/>
          <w:lang w:val="en-US"/>
        </w:rPr>
        <w:t> </w:t>
      </w:r>
      <w:r w:rsidRPr="0088344B">
        <w:rPr>
          <w:color w:val="FF0000"/>
        </w:rPr>
        <w:t>[1]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6BEC1B0F" w14:textId="77777777" w:rsidR="00170D8D" w:rsidRPr="0088344B" w:rsidRDefault="00170D8D" w:rsidP="00170D8D">
      <w:pPr>
        <w:pStyle w:val="DBASE"/>
        <w:rPr>
          <w:color w:val="FF0000"/>
        </w:rPr>
      </w:pPr>
      <w:r w:rsidRPr="0088344B">
        <w:rPr>
          <w:color w:val="FF0000"/>
        </w:rPr>
        <w:t xml:space="preserve">Диоды данных могут быть выполнены в программном или аппаратном варианте. В случае аппаратной реализации, корпус содержит интерфейсы для подключения принимающей и передающей сети, а также разъём питания. </w:t>
      </w:r>
      <w:r w:rsidRPr="0088344B">
        <w:rPr>
          <w:color w:val="FF0000"/>
        </w:rPr>
        <w:lastRenderedPageBreak/>
        <w:t xml:space="preserve">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5BD6ED4F" w14:textId="77777777" w:rsidR="00170D8D" w:rsidRPr="0088344B" w:rsidRDefault="00170D8D" w:rsidP="00170D8D">
      <w:pPr>
        <w:pStyle w:val="DBASE"/>
        <w:rPr>
          <w:color w:val="FF0000"/>
        </w:rPr>
      </w:pPr>
      <w:r w:rsidRPr="0088344B">
        <w:rPr>
          <w:color w:val="FF0000"/>
        </w:rPr>
        <w:t>Программный диод данных – 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однонаправленную сеть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F5AC80A" w14:textId="77777777" w:rsidR="00170D8D" w:rsidRPr="0088344B" w:rsidRDefault="00170D8D" w:rsidP="00170D8D">
      <w:pPr>
        <w:pStyle w:val="DBASE"/>
        <w:rPr>
          <w:color w:val="FF0000"/>
        </w:rPr>
      </w:pPr>
      <w:r w:rsidRPr="0088344B">
        <w:rPr>
          <w:color w:val="FF0000"/>
        </w:rP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sidRPr="0088344B">
        <w:rPr>
          <w:color w:val="FF0000"/>
          <w:lang w:val="en-US"/>
        </w:rPr>
        <w:t>TCP</w:t>
      </w:r>
      <w:r w:rsidRPr="0088344B">
        <w:rPr>
          <w:color w:val="FF0000"/>
        </w:rPr>
        <w:t xml:space="preserve">, </w:t>
      </w:r>
      <w:r w:rsidRPr="0088344B">
        <w:rPr>
          <w:color w:val="FF0000"/>
          <w:lang w:val="en-US"/>
        </w:rPr>
        <w:t>FTP</w:t>
      </w:r>
      <w:r w:rsidRPr="0088344B">
        <w:rPr>
          <w:color w:val="FF0000"/>
        </w:rPr>
        <w:t xml:space="preserve">, </w:t>
      </w:r>
      <w:r w:rsidRPr="0088344B">
        <w:rPr>
          <w:color w:val="FF0000"/>
          <w:lang w:val="en-US"/>
        </w:rPr>
        <w:t>HTTP</w:t>
      </w:r>
      <w:r w:rsidRPr="0088344B">
        <w:rPr>
          <w:color w:val="FF0000"/>
        </w:rPr>
        <w:t xml:space="preserve"> и нуждается в программно-аппаратном комплексе. </w:t>
      </w:r>
    </w:p>
    <w:p w14:paraId="38B90764" w14:textId="77777777" w:rsidR="00170D8D" w:rsidRPr="0088344B" w:rsidRDefault="00170D8D" w:rsidP="00170D8D">
      <w:pPr>
        <w:pStyle w:val="DBASE"/>
        <w:rPr>
          <w:color w:val="FF0000"/>
        </w:rPr>
      </w:pPr>
      <w:r w:rsidRPr="0088344B">
        <w:rPr>
          <w:color w:val="FF0000"/>
        </w:rPr>
        <w:t xml:space="preserve">Реализуется подобный комплекс на базе прокси серверов, которые эмулируют работу </w:t>
      </w:r>
      <w:r w:rsidRPr="0088344B">
        <w:rPr>
          <w:color w:val="FF0000"/>
          <w:lang w:val="en-US"/>
        </w:rPr>
        <w:t>TCP</w:t>
      </w:r>
      <w:r w:rsidRPr="0088344B">
        <w:rPr>
          <w:color w:val="FF0000"/>
        </w:rPr>
        <w:t xml:space="preserve">, </w:t>
      </w:r>
      <w:r w:rsidRPr="0088344B">
        <w:rPr>
          <w:color w:val="FF0000"/>
          <w:lang w:val="en-US"/>
        </w:rPr>
        <w:t>SMB</w:t>
      </w:r>
      <w:r w:rsidRPr="0088344B">
        <w:rPr>
          <w:color w:val="FF0000"/>
        </w:rPr>
        <w:t xml:space="preserve"> и других стандартов передачи данных. Дополнительным достоинством данной системы является возможности контроля входных данных, их мониторинга и фильтрации.</w:t>
      </w:r>
    </w:p>
    <w:p w14:paraId="2D5D666A" w14:textId="77777777" w:rsidR="00170D8D" w:rsidRPr="0088344B" w:rsidRDefault="00170D8D" w:rsidP="00170D8D">
      <w:pPr>
        <w:pStyle w:val="DBASE"/>
        <w:rPr>
          <w:color w:val="FF0000"/>
        </w:rPr>
      </w:pPr>
      <w:r w:rsidRPr="0088344B">
        <w:rPr>
          <w:color w:val="FF0000"/>
        </w:rPr>
        <w:t xml:space="preserve">Диоды данных могут использоваться не только для защиты конфиденциальных данных, но и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 удалённо. 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732EB73D" w14:textId="77777777" w:rsidR="00170D8D" w:rsidRPr="0088344B" w:rsidRDefault="00170D8D" w:rsidP="00170D8D">
      <w:pPr>
        <w:pStyle w:val="DBASE"/>
        <w:rPr>
          <w:color w:val="FF0000"/>
        </w:rPr>
      </w:pPr>
      <w:r w:rsidRPr="0088344B">
        <w:rPr>
          <w:color w:val="FF0000"/>
        </w:rPr>
        <w:t xml:space="preserve">Цель дипломной работы – исследование принципов работы однонаправленных сетей и реализация программного комплекса для работы однонаправленной ведомственной сети. </w:t>
      </w:r>
    </w:p>
    <w:p w14:paraId="62388AFB" w14:textId="77777777" w:rsidR="00170D8D" w:rsidRPr="0088344B" w:rsidRDefault="00170D8D" w:rsidP="00170D8D">
      <w:pPr>
        <w:pStyle w:val="DBASE"/>
        <w:rPr>
          <w:color w:val="FF0000"/>
        </w:rPr>
      </w:pPr>
      <w:r w:rsidRPr="0088344B">
        <w:rPr>
          <w:color w:val="FF0000"/>
        </w:rPr>
        <w:t xml:space="preserve">Задачи дипломной работы: </w:t>
      </w:r>
    </w:p>
    <w:p w14:paraId="2E38A7B6" w14:textId="77777777" w:rsidR="00170D8D" w:rsidRPr="0088344B" w:rsidRDefault="00170D8D" w:rsidP="00170D8D">
      <w:pPr>
        <w:pStyle w:val="DBASE"/>
        <w:rPr>
          <w:color w:val="FF0000"/>
        </w:rPr>
      </w:pPr>
      <w:r w:rsidRPr="0088344B">
        <w:rPr>
          <w:color w:val="FF0000"/>
        </w:rPr>
        <w:sym w:font="Symbol" w:char="F02D"/>
      </w:r>
      <w:r w:rsidRPr="0088344B">
        <w:rPr>
          <w:color w:val="FF0000"/>
        </w:rPr>
        <w:t> сравнительный анализ существующих систем однонаправленной передачи данных.</w:t>
      </w:r>
    </w:p>
    <w:p w14:paraId="4E86B381" w14:textId="77777777" w:rsidR="00170D8D" w:rsidRPr="0088344B" w:rsidRDefault="00170D8D" w:rsidP="00170D8D">
      <w:pPr>
        <w:pStyle w:val="DBASE"/>
        <w:rPr>
          <w:color w:val="FF0000"/>
        </w:rPr>
      </w:pPr>
      <w:r w:rsidRPr="0088344B">
        <w:rPr>
          <w:color w:val="FF0000"/>
        </w:rPr>
        <w:sym w:font="Symbol" w:char="F02D"/>
      </w:r>
      <w:r w:rsidRPr="0088344B">
        <w:rPr>
          <w:color w:val="FF0000"/>
        </w:rPr>
        <w:t> разработка системы однонаправленной передачи данных по техническому заданию</w:t>
      </w:r>
    </w:p>
    <w:p w14:paraId="20A13328" w14:textId="77777777" w:rsidR="00170D8D" w:rsidRPr="0088344B" w:rsidRDefault="00170D8D" w:rsidP="00170D8D">
      <w:pPr>
        <w:pStyle w:val="DBASE"/>
        <w:rPr>
          <w:color w:val="FF0000"/>
        </w:rPr>
      </w:pPr>
      <w:r w:rsidRPr="0088344B">
        <w:rPr>
          <w:color w:val="FF0000"/>
        </w:rPr>
        <w:sym w:font="Symbol" w:char="F02D"/>
      </w:r>
      <w:r w:rsidRPr="0088344B">
        <w:rPr>
          <w:color w:val="FF0000"/>
        </w:rPr>
        <w:t> проведение технико-экономических обоснований исследования и разработки системы однонаправленной передачи данных.</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5" w:name="_Hlk119095618"/>
      <w:bookmarkStart w:id="6" w:name="_Hlk122037500"/>
      <w:r>
        <w:t>1.1 Распространение света в оптических волокнах</w:t>
      </w:r>
    </w:p>
    <w:bookmarkEnd w:id="5"/>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7"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7"/>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6"/>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8"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8"/>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9"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9"/>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EA51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EA51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EA513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EA513E"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1"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1"/>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EA513E"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2"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2"/>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3" w:name="_Hlk119348764"/>
      <w:r w:rsidRPr="005A03FD">
        <w:rPr>
          <w:lang w:val="en-US"/>
        </w:rPr>
        <w:t>ω</w:t>
      </w:r>
      <w:bookmarkEnd w:id="13"/>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EA513E"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EA513E"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EA513E"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EA513E"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14" w:name="_Hlk123842092"/>
            <m:r>
              <w:rPr>
                <w:rFonts w:ascii="Cambria Math" w:hAnsi="Cambria Math" w:cs="Times New Roman"/>
                <w:sz w:val="28"/>
                <w:szCs w:val="28"/>
              </w:rPr>
              <m:t>χ</m:t>
            </m:r>
            <w:bookmarkEnd w:id="14"/>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5"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5"/>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EA513E"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EA513E"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6"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6"/>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17"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17"/>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9" w:name="_Hlk122549015"/>
            <w:bookmarkEnd w:id="1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2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2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61990464"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доступа.</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7777777" w:rsidR="001A2A34" w:rsidRPr="00AD572D" w:rsidRDefault="001A2A34" w:rsidP="00AD572D">
      <w:pPr>
        <w:pStyle w:val="DBASE"/>
      </w:pPr>
      <w:r w:rsidRPr="00AD572D">
        <w:t>– высокая защищенность от несанкционированного доступа;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r>
        <w:lastRenderedPageBreak/>
        <w:t xml:space="preserve">2 МЕТОДЫ НЕСАНКЦИОНИРОВАННОГО ВЫВОДА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2.1 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665B4B89" w:rsidR="00207646" w:rsidRDefault="00207646" w:rsidP="00207646">
      <w:pPr>
        <w:pStyle w:val="DBASE"/>
      </w:pPr>
    </w:p>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оптического излучения</w:t>
      </w:r>
      <w:r w:rsidR="008F794C" w:rsidRPr="00085031">
        <w:t xml:space="preserve">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Согласно руководящим документам МСЭ-Т рек. G.652,</w:t>
      </w:r>
      <w:r>
        <w:t xml:space="preserve"> </w:t>
      </w:r>
      <w:r>
        <w:t xml:space="preserve">G.655 для </w:t>
      </w:r>
      <w:proofErr w:type="spellStart"/>
      <w:r>
        <w:t>одномодовых</w:t>
      </w:r>
      <w:proofErr w:type="spellEnd"/>
      <w:r>
        <w:t xml:space="preserve"> оптических волокон потери оптического тракта</w:t>
      </w:r>
      <w:r>
        <w:t xml:space="preserve"> </w:t>
      </w:r>
      <w:r>
        <w:t xml:space="preserve">характеризуются коэффициентом потерь на единицу длины </w:t>
      </w:r>
      <w:r>
        <w:t>оптоволокна</w:t>
      </w:r>
      <w:r>
        <w:t xml:space="preserve"> </w:t>
      </w:r>
      <w:r>
        <w:t xml:space="preserve">– </w:t>
      </w:r>
      <w:r>
        <w:t>[дБ/км]</w:t>
      </w:r>
      <w:r>
        <w:t>.</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22"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r>
          <w:rPr>
            <w:rFonts w:ascii="Cambria Math" w:hAnsi="Cambria Math" w:cs="Times New Roman"/>
            <w:sz w:val="28"/>
            <w:szCs w:val="28"/>
          </w:rPr>
          <m:t>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m:t>
        </m:r>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w:t>
      </w:r>
      <w:r>
        <w:rPr>
          <w:rFonts w:eastAsiaTheme="minorEastAsia"/>
        </w:rPr>
        <w:t xml:space="preserve">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837CF4"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m:t>
            </m:r>
            <m:r>
              <w:rPr>
                <w:rFonts w:ascii="Cambria Math" w:hAnsi="Cambria Math"/>
                <w:szCs w:val="28"/>
              </w:rPr>
              <m:t>ы</m:t>
            </m:r>
            <m:r>
              <w:rPr>
                <w:rFonts w:ascii="Cambria Math" w:hAnsi="Cambria Math"/>
                <w:szCs w:val="28"/>
              </w:rPr>
              <m:t>х</m:t>
            </m:r>
          </m:sub>
        </m:sSub>
      </m:oMath>
      <w:r w:rsidRPr="00207E96">
        <w:rPr>
          <w:rFonts w:eastAsiaTheme="minorEastAsia"/>
        </w:rPr>
        <w:t xml:space="preserve">– </w:t>
      </w:r>
      <w:r>
        <w:rPr>
          <w:rFonts w:eastAsiaTheme="minorEastAsia"/>
        </w:rPr>
        <w:t xml:space="preserve">мощность оптического излучения на выходе ОВ, </w:t>
      </w:r>
      <w:r w:rsidRPr="00837CF4">
        <w:rPr>
          <w:rFonts w:eastAsiaTheme="minorEastAsia"/>
        </w:rPr>
        <w:t>[</w:t>
      </w:r>
      <w:r>
        <w:rPr>
          <w:rFonts w:eastAsiaTheme="minorEastAsia"/>
        </w:rPr>
        <w:t>мВт</w:t>
      </w:r>
      <w:r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22"/>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7702DA"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7702DA"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Pr="00207E96">
        <w:rPr>
          <w:rFonts w:eastAsiaTheme="minorEastAsia"/>
        </w:rPr>
        <w:t>–</w:t>
      </w:r>
      <w:r>
        <w:rPr>
          <w:rFonts w:eastAsiaTheme="minorEastAsia"/>
        </w:rPr>
        <w:t xml:space="preserve"> суммарное затухание участка </w:t>
      </w:r>
      <w:r>
        <w:rPr>
          <w:rFonts w:eastAsiaTheme="minorEastAsia"/>
        </w:rPr>
        <w:t xml:space="preserve">ОВ,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529E8913"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доступа</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DF21FA">
      <w:pPr>
        <w:pStyle w:val="DBASE"/>
        <w:rPr>
          <w:szCs w:val="28"/>
        </w:rPr>
      </w:pPr>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 xml:space="preserve">ОВ </w:t>
      </w:r>
      <w:r>
        <w:t>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14C54EB"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доступа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E21396"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m:t>
        </m:r>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m:t>
        </m:r>
        <m:r>
          <w:rPr>
            <w:rFonts w:ascii="Cambria Math" w:eastAsiaTheme="minorEastAsia" w:hAnsi="Cambria Math"/>
          </w:rPr>
          <m:t>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w:t>
      </w:r>
      <w:r w:rsidRPr="006D261D">
        <w:rPr>
          <w:rFonts w:eastAsiaTheme="minorEastAsia"/>
        </w:rPr>
        <w:t xml:space="preserve">– </w:t>
      </w:r>
      <w:r>
        <w:rPr>
          <w:rFonts w:eastAsiaTheme="minorEastAsia"/>
        </w:rPr>
        <w:t>радиус волокна</w:t>
      </w:r>
      <w:r>
        <w:rPr>
          <w:rFonts w:eastAsiaTheme="minorEastAsia"/>
        </w:rPr>
        <w:t xml:space="preserve">, </w:t>
      </w:r>
      <w:r w:rsidRPr="00837CF4">
        <w:rPr>
          <w:rFonts w:eastAsiaTheme="minorEastAsia"/>
        </w:rPr>
        <w:t>[</w:t>
      </w:r>
      <w:r>
        <w:rPr>
          <w:rFonts w:eastAsiaTheme="minorEastAsia"/>
        </w:rPr>
        <w:t>м</w:t>
      </w:r>
      <w:r>
        <w:rPr>
          <w:rFonts w:eastAsiaTheme="minorEastAsia"/>
        </w:rPr>
        <w:t>км</w:t>
      </w:r>
      <w:r w:rsidRPr="00837CF4">
        <w:rPr>
          <w:rFonts w:eastAsiaTheme="minorEastAsia"/>
        </w:rPr>
        <w:t>]</w:t>
      </w:r>
      <w:r w:rsidRPr="006D261D">
        <w:rPr>
          <w:rFonts w:eastAsiaTheme="minorEastAsia"/>
        </w:rPr>
        <w:t>;</w:t>
      </w:r>
    </w:p>
    <w:p w14:paraId="10D19D7F" w14:textId="628ABD40" w:rsidR="006D261D" w:rsidRDefault="006D261D"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Pr="006D261D">
        <w:rPr>
          <w:rFonts w:eastAsiaTheme="minorEastAsia"/>
        </w:rPr>
        <w:t xml:space="preserve"> – </w:t>
      </w:r>
      <w:r>
        <w:rPr>
          <w:rFonts w:eastAsiaTheme="minorEastAsia"/>
        </w:rPr>
        <w:t>показатель преломления сердечников</w:t>
      </w:r>
      <w:r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r>
        <w:t>2.2 Методы вывода информации за счет созданной локальной</w:t>
      </w:r>
    </w:p>
    <w:p w14:paraId="6D856AD4" w14:textId="0A44CB74" w:rsidR="00176D9C" w:rsidRDefault="00176D9C" w:rsidP="00176D9C">
      <w:pPr>
        <w:pStyle w:val="DTITLE2"/>
        <w:ind w:firstLine="1134"/>
      </w:pPr>
      <w:r>
        <w:t>неоднородности в оптических волокнах</w:t>
      </w:r>
    </w:p>
    <w:p w14:paraId="32603B15" w14:textId="7B0BAC00" w:rsidR="00176D9C" w:rsidRDefault="00176D9C" w:rsidP="00176D9C">
      <w:pPr>
        <w:pStyle w:val="DBASE"/>
      </w:pPr>
    </w:p>
    <w:p w14:paraId="09D28340" w14:textId="1285BEF1" w:rsidR="0079133F" w:rsidRDefault="0079133F" w:rsidP="00176D9C">
      <w:pPr>
        <w:pStyle w:val="DBASE"/>
        <w:rPr>
          <w:lang w:val="en-US"/>
        </w:rPr>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Pr>
          <w:lang w:val="en-US"/>
        </w:rPr>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w:t>
      </w:r>
      <w:r>
        <w:t xml:space="preserve"> преднамеренно созданной в ОВ локальной неоднородности,</w:t>
      </w:r>
      <w:r>
        <w:t xml:space="preserve"> </w:t>
      </w:r>
      <w:r>
        <w:t xml:space="preserve">существуют и запланированные локальные неоднородности. </w:t>
      </w:r>
      <w:r>
        <w:t>К ним относятся</w:t>
      </w:r>
      <w:r>
        <w:t xml:space="preserve"> </w:t>
      </w:r>
      <w:r>
        <w:t xml:space="preserve">места </w:t>
      </w:r>
      <w:r>
        <w:t>сварки</w:t>
      </w:r>
      <w:r>
        <w:t xml:space="preserve"> </w:t>
      </w:r>
      <w:r>
        <w:t>оптических волокон в точках соединения строительных длин ОК, трещины и</w:t>
      </w:r>
      <w:r>
        <w:t xml:space="preserve"> </w:t>
      </w:r>
      <w:r>
        <w:t>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176D9C">
      <w:pPr>
        <w:pStyle w:val="DBASE"/>
        <w:rPr>
          <w:szCs w:val="28"/>
        </w:rPr>
      </w:pPr>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2C89B60" w14:textId="0F36974A" w:rsidR="00697B23" w:rsidRDefault="00176D9C" w:rsidP="00176D9C">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несанкционированного доступа</w:t>
      </w:r>
      <w:r w:rsidRPr="00176D9C">
        <w:t xml:space="preserve">. </w:t>
      </w:r>
      <w:r w:rsidR="008D2BD0">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6208B5BB" w14:textId="2B41891C" w:rsidR="008D2BD0"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xml:space="preserve">, на которой излучение преломляется, и часть его излучается через боковую поверхность. </w:t>
      </w:r>
      <w:r w:rsidR="00871DFB">
        <w:lastRenderedPageBreak/>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0C35AE2D" w14:textId="599C5128" w:rsidR="00871DFB" w:rsidRDefault="00871DFB" w:rsidP="00176D9C">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w:t>
      </w:r>
      <w:r>
        <w:t>°С</w:t>
      </w:r>
      <w:r w:rsidR="00A213F7">
        <w:t>,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BEDD19F" w14:textId="5C950543" w:rsidR="00A213F7" w:rsidRDefault="00A213F7" w:rsidP="00176D9C">
      <w:pPr>
        <w:pStyle w:val="DBASE"/>
      </w:pPr>
      <w:r>
        <w:t xml:space="preserve">Помимо перечисленных методов создания локальной неоднородности в ОВ, существует и такой метод, при котором дискретная анизотропия в ОВ создается через </w:t>
      </w:r>
      <w:bookmarkStart w:id="23" w:name="_GoBack"/>
      <w:bookmarkEnd w:id="23"/>
    </w:p>
    <w:p w14:paraId="072B690D" w14:textId="77777777" w:rsidR="00871DFB" w:rsidRPr="00016AC2" w:rsidRDefault="00871DFB" w:rsidP="00176D9C">
      <w:pPr>
        <w:pStyle w:val="DBASE"/>
      </w:pPr>
    </w:p>
    <w:sectPr w:rsidR="00871DFB" w:rsidRPr="00016AC2" w:rsidSect="00FE4C03">
      <w:footerReference w:type="default" r:id="rId18"/>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299A5" w14:textId="77777777" w:rsidR="00DD6320" w:rsidRDefault="00DD6320" w:rsidP="005B64C6">
      <w:pPr>
        <w:spacing w:after="0" w:line="240" w:lineRule="auto"/>
      </w:pPr>
      <w:r>
        <w:separator/>
      </w:r>
    </w:p>
  </w:endnote>
  <w:endnote w:type="continuationSeparator" w:id="0">
    <w:p w14:paraId="2423D3C5" w14:textId="77777777" w:rsidR="00DD6320" w:rsidRDefault="00DD6320"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EA513E" w:rsidRPr="006B1EB4" w:rsidRDefault="00EA513E"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EA513E" w:rsidRDefault="00EA51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655EB" w14:textId="77777777" w:rsidR="00DD6320" w:rsidRDefault="00DD6320" w:rsidP="005B64C6">
      <w:pPr>
        <w:spacing w:after="0" w:line="240" w:lineRule="auto"/>
      </w:pPr>
      <w:r>
        <w:separator/>
      </w:r>
    </w:p>
  </w:footnote>
  <w:footnote w:type="continuationSeparator" w:id="0">
    <w:p w14:paraId="053CB001" w14:textId="77777777" w:rsidR="00DD6320" w:rsidRDefault="00DD6320"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45489"/>
    <w:rsid w:val="00063F1F"/>
    <w:rsid w:val="00075445"/>
    <w:rsid w:val="00085031"/>
    <w:rsid w:val="0009144B"/>
    <w:rsid w:val="00095025"/>
    <w:rsid w:val="000958BD"/>
    <w:rsid w:val="000A165D"/>
    <w:rsid w:val="000A265A"/>
    <w:rsid w:val="000A4E2F"/>
    <w:rsid w:val="000D0CE7"/>
    <w:rsid w:val="000E2CCD"/>
    <w:rsid w:val="000F6DBE"/>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7186"/>
    <w:rsid w:val="001D042F"/>
    <w:rsid w:val="00203C84"/>
    <w:rsid w:val="00207646"/>
    <w:rsid w:val="002227AB"/>
    <w:rsid w:val="00243ED5"/>
    <w:rsid w:val="0026309B"/>
    <w:rsid w:val="00273695"/>
    <w:rsid w:val="002747BD"/>
    <w:rsid w:val="002A2B30"/>
    <w:rsid w:val="002C6A85"/>
    <w:rsid w:val="002E497B"/>
    <w:rsid w:val="002E7B6E"/>
    <w:rsid w:val="002F1E05"/>
    <w:rsid w:val="00310AD6"/>
    <w:rsid w:val="0032311B"/>
    <w:rsid w:val="00324436"/>
    <w:rsid w:val="00326EA1"/>
    <w:rsid w:val="00340D3B"/>
    <w:rsid w:val="00354AF2"/>
    <w:rsid w:val="00363502"/>
    <w:rsid w:val="003836C1"/>
    <w:rsid w:val="00384706"/>
    <w:rsid w:val="00390AA2"/>
    <w:rsid w:val="003A0D74"/>
    <w:rsid w:val="003A3375"/>
    <w:rsid w:val="003B7B70"/>
    <w:rsid w:val="003C0BFE"/>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7A61"/>
    <w:rsid w:val="004D1F53"/>
    <w:rsid w:val="00541072"/>
    <w:rsid w:val="00575E30"/>
    <w:rsid w:val="00590A42"/>
    <w:rsid w:val="005912CF"/>
    <w:rsid w:val="00591D43"/>
    <w:rsid w:val="005B1554"/>
    <w:rsid w:val="005B64C6"/>
    <w:rsid w:val="005C33F3"/>
    <w:rsid w:val="005E644C"/>
    <w:rsid w:val="006103C0"/>
    <w:rsid w:val="00611ACF"/>
    <w:rsid w:val="00623111"/>
    <w:rsid w:val="00637A8D"/>
    <w:rsid w:val="006445F7"/>
    <w:rsid w:val="00650E50"/>
    <w:rsid w:val="00657BF9"/>
    <w:rsid w:val="00657EEF"/>
    <w:rsid w:val="00663FAA"/>
    <w:rsid w:val="00680D41"/>
    <w:rsid w:val="00697B23"/>
    <w:rsid w:val="006B1EB4"/>
    <w:rsid w:val="006B3A78"/>
    <w:rsid w:val="006D261D"/>
    <w:rsid w:val="006D2CB0"/>
    <w:rsid w:val="006D6E46"/>
    <w:rsid w:val="0070495A"/>
    <w:rsid w:val="00707A91"/>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C1184"/>
    <w:rsid w:val="008C4710"/>
    <w:rsid w:val="008D2BD0"/>
    <w:rsid w:val="008D6A4D"/>
    <w:rsid w:val="008E0DA4"/>
    <w:rsid w:val="008E5617"/>
    <w:rsid w:val="008E5FDF"/>
    <w:rsid w:val="008F794C"/>
    <w:rsid w:val="00900483"/>
    <w:rsid w:val="00920FE4"/>
    <w:rsid w:val="00927252"/>
    <w:rsid w:val="00940F70"/>
    <w:rsid w:val="009513BE"/>
    <w:rsid w:val="00973C0B"/>
    <w:rsid w:val="00987831"/>
    <w:rsid w:val="00995AF8"/>
    <w:rsid w:val="009A26A5"/>
    <w:rsid w:val="009A6127"/>
    <w:rsid w:val="009B46C3"/>
    <w:rsid w:val="009C4B15"/>
    <w:rsid w:val="009E16F2"/>
    <w:rsid w:val="009F794B"/>
    <w:rsid w:val="00A11627"/>
    <w:rsid w:val="00A17BEA"/>
    <w:rsid w:val="00A20268"/>
    <w:rsid w:val="00A213F7"/>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331A"/>
    <w:rsid w:val="00B51245"/>
    <w:rsid w:val="00B64823"/>
    <w:rsid w:val="00B9546A"/>
    <w:rsid w:val="00BA44D5"/>
    <w:rsid w:val="00BA5E3F"/>
    <w:rsid w:val="00BB2908"/>
    <w:rsid w:val="00BE6973"/>
    <w:rsid w:val="00BF796D"/>
    <w:rsid w:val="00C36171"/>
    <w:rsid w:val="00C45DA2"/>
    <w:rsid w:val="00C472D8"/>
    <w:rsid w:val="00C7244F"/>
    <w:rsid w:val="00CA3CB1"/>
    <w:rsid w:val="00CC1131"/>
    <w:rsid w:val="00D11E71"/>
    <w:rsid w:val="00D1754A"/>
    <w:rsid w:val="00D2071F"/>
    <w:rsid w:val="00D44CDA"/>
    <w:rsid w:val="00D67E10"/>
    <w:rsid w:val="00D70CE4"/>
    <w:rsid w:val="00D83081"/>
    <w:rsid w:val="00DA3D27"/>
    <w:rsid w:val="00DB709F"/>
    <w:rsid w:val="00DC0991"/>
    <w:rsid w:val="00DC3640"/>
    <w:rsid w:val="00DD1A18"/>
    <w:rsid w:val="00DD4123"/>
    <w:rsid w:val="00DD4B71"/>
    <w:rsid w:val="00DD6320"/>
    <w:rsid w:val="00DE0E99"/>
    <w:rsid w:val="00DF21FA"/>
    <w:rsid w:val="00E0243F"/>
    <w:rsid w:val="00E21396"/>
    <w:rsid w:val="00E32E64"/>
    <w:rsid w:val="00E627F8"/>
    <w:rsid w:val="00E94AD4"/>
    <w:rsid w:val="00E95195"/>
    <w:rsid w:val="00EA513E"/>
    <w:rsid w:val="00EC131F"/>
    <w:rsid w:val="00ED2D70"/>
    <w:rsid w:val="00ED3A77"/>
    <w:rsid w:val="00EF34F8"/>
    <w:rsid w:val="00EF3904"/>
    <w:rsid w:val="00F21B42"/>
    <w:rsid w:val="00F2397A"/>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972A5-5639-456A-BDD9-C5CC6A80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46</Pages>
  <Words>12143</Words>
  <Characters>69217</Characters>
  <Application>Microsoft Office Word</Application>
  <DocSecurity>0</DocSecurity>
  <Lines>576</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cp:lastPrinted>2022-06-17T01:29:00Z</cp:lastPrinted>
  <dcterms:created xsi:type="dcterms:W3CDTF">2022-12-22T14:47:00Z</dcterms:created>
  <dcterms:modified xsi:type="dcterms:W3CDTF">2023-01-05T20:26:00Z</dcterms:modified>
</cp:coreProperties>
</file>