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175C4EFE" w14:textId="77777777" w:rsidR="0078134F" w:rsidRDefault="0074681B" w:rsidP="0078134F">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t xml:space="preserve"> устройства</w:t>
      </w:r>
      <w:r w:rsidR="0078134F">
        <w:rPr>
          <w:lang w:val="ru-BY"/>
        </w:rPr>
        <w:t xml:space="preserve"> </w:t>
      </w:r>
      <w:r w:rsidR="0078134F" w:rsidRPr="0078134F">
        <w:rPr>
          <w:lang w:val="ru-BY"/>
        </w:rPr>
        <w:t>и</w:t>
      </w:r>
      <w:r w:rsidR="0078134F">
        <w:rPr>
          <w:lang w:val="ru-BY"/>
        </w:rPr>
        <w:t xml:space="preserve"> </w:t>
      </w:r>
    </w:p>
    <w:p w14:paraId="2A124954" w14:textId="77777777" w:rsidR="0078134F" w:rsidRDefault="0078134F" w:rsidP="0078134F">
      <w:pPr>
        <w:pStyle w:val="DLIST"/>
        <w:ind w:left="284"/>
        <w:contextualSpacing/>
        <w:rPr>
          <w:lang w:val="ru-BY"/>
        </w:rPr>
      </w:pPr>
      <w:r w:rsidRPr="0078134F">
        <w:rPr>
          <w:lang w:val="ru-BY"/>
        </w:rPr>
        <w:t>производства устройства</w:t>
      </w:r>
      <w:r>
        <w:rPr>
          <w:lang w:val="ru-BY"/>
        </w:rPr>
        <w:t xml:space="preserve"> </w:t>
      </w:r>
      <w:r w:rsidRPr="0078134F">
        <w:rPr>
          <w:lang w:val="ru-BY"/>
        </w:rPr>
        <w:t>обнаружения несанкционированного съема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79D048DA" w:rsidR="00170D8D" w:rsidRPr="00A9220B" w:rsidRDefault="0078134F" w:rsidP="0078134F">
      <w:pPr>
        <w:pStyle w:val="DLIST"/>
        <w:ind w:left="284"/>
        <w:contextualSpacing/>
      </w:pPr>
      <w:r w:rsidRPr="0078134F">
        <w:rPr>
          <w:lang w:val="ru-BY"/>
        </w:rPr>
        <w:t>связи</w:t>
      </w:r>
      <w:r w:rsidR="00170D8D">
        <w:tab/>
      </w:r>
      <w:r w:rsidR="00A9220B" w:rsidRPr="00A9220B">
        <w:t>58</w:t>
      </w:r>
    </w:p>
    <w:p w14:paraId="2F438B8E" w14:textId="14F10A1D" w:rsidR="00170D8D" w:rsidRPr="00DF3F3D" w:rsidRDefault="00170D8D" w:rsidP="00170D8D">
      <w:pPr>
        <w:pStyle w:val="DLIST"/>
        <w:ind w:left="397" w:hanging="397"/>
      </w:pPr>
      <w:r>
        <w:t>Заключение</w:t>
      </w:r>
      <w:r>
        <w:tab/>
      </w:r>
      <w:r w:rsidR="00DF3F3D" w:rsidRPr="00A9220B">
        <w:rPr>
          <w:highlight w:val="yellow"/>
          <w:lang w:val="en-US"/>
        </w:rPr>
        <w:t>xx</w:t>
      </w:r>
    </w:p>
    <w:p w14:paraId="4D4DA346" w14:textId="49212B34" w:rsidR="00170D8D" w:rsidRDefault="00170D8D" w:rsidP="00170D8D">
      <w:pPr>
        <w:pStyle w:val="DLIST"/>
        <w:ind w:left="397" w:hanging="397"/>
        <w:rPr>
          <w:lang w:val="en-US"/>
        </w:rPr>
      </w:pPr>
      <w:r>
        <w:t>Список использованных источников</w:t>
      </w:r>
      <w:r>
        <w:tab/>
      </w:r>
      <w:r w:rsidR="00DF3F3D">
        <w:rPr>
          <w:lang w:val="en-US"/>
        </w:rPr>
        <w:t>xx</w:t>
      </w:r>
    </w:p>
    <w:p w14:paraId="7C9C87B1" w14:textId="478E73A0" w:rsidR="00A9220B" w:rsidRPr="00DF3F3D" w:rsidRDefault="00A9220B" w:rsidP="00A9220B">
      <w:pPr>
        <w:pStyle w:val="DLIST"/>
        <w:ind w:left="397" w:hanging="397"/>
      </w:pPr>
      <w:r>
        <w:t xml:space="preserve">Ведомость документов </w:t>
      </w:r>
      <w:r>
        <w:tab/>
      </w:r>
      <w:r>
        <w:rPr>
          <w:lang w:val="en-US"/>
        </w:rPr>
        <w:t>xx</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обнаружения несанкционированного съема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BB651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BB651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BB6512"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BB6512"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BB6512"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BB6512"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BB6512"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BB6512"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BB6512"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BB6512"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BB6512"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BB6512"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BB6512"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BB6512"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BB6512"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BB6512"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BB6512"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1D502978" w:rsidR="00E413BF" w:rsidRDefault="00E413BF" w:rsidP="00E413BF">
      <w:pPr>
        <w:pStyle w:val="DTITLE1"/>
        <w:ind w:firstLine="907"/>
      </w:pPr>
      <w:bookmarkStart w:id="59" w:name="_Toc124170837"/>
      <w:r>
        <w:t>НЕСАНКЦИОНИРОВАННОГО СЪЕМА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56A04BE5"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66914612"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7CE491A1"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3CD9FADE"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77777777"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77777777" w:rsidR="0078134F" w:rsidRDefault="0078134F" w:rsidP="00D11590">
      <w:pPr>
        <w:pStyle w:val="DTITLE1"/>
        <w:ind w:left="227"/>
      </w:pPr>
      <w:r w:rsidRPr="0078134F">
        <w:t>ОБНАРУЖЕНИЯ НЕСАНКЦИОНИРОВАННОГО СЪЕМА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00EEC3FE" w14:textId="44E3260D" w:rsidR="0078134F" w:rsidRPr="0078134F" w:rsidRDefault="0078134F" w:rsidP="0078134F">
      <w:pPr>
        <w:pStyle w:val="DTITLE2"/>
        <w:rPr>
          <w:lang w:val="ru-BY"/>
        </w:rPr>
      </w:pPr>
      <w:bookmarkStart w:id="65" w:name="_Toc104786631"/>
      <w:bookmarkStart w:id="66" w:name="_Toc105828709"/>
      <w:bookmarkStart w:id="67" w:name="_Toc106325514"/>
      <w:r>
        <w:rPr>
          <w:lang w:val="ru-BY"/>
        </w:rPr>
        <w:t>5</w:t>
      </w:r>
      <w:r w:rsidRPr="003879EE">
        <w:t xml:space="preserve">.1 Характеристика </w:t>
      </w:r>
      <w:bookmarkEnd w:id="65"/>
      <w:bookmarkEnd w:id="66"/>
      <w:bookmarkEnd w:id="67"/>
      <w:r>
        <w:rPr>
          <w:lang w:val="ru-BY"/>
        </w:rPr>
        <w:t xml:space="preserve">устройства </w:t>
      </w:r>
    </w:p>
    <w:p w14:paraId="62E19CFF" w14:textId="77777777" w:rsidR="0078134F" w:rsidRDefault="0078134F" w:rsidP="0078134F">
      <w:pPr>
        <w:pStyle w:val="DBASE"/>
      </w:pPr>
    </w:p>
    <w:p w14:paraId="45B733D4" w14:textId="24F6112A" w:rsidR="00B25508" w:rsidRDefault="00B25508" w:rsidP="00B25508">
      <w:pPr>
        <w:pStyle w:val="DBASE"/>
        <w:rPr>
          <w:lang w:val="ru-BY"/>
        </w:rPr>
      </w:pPr>
      <w:r>
        <w:rPr>
          <w:lang w:val="ru-BY"/>
        </w:rPr>
        <w:t xml:space="preserve">Устройство </w:t>
      </w:r>
      <w:r>
        <w:t>обнаружения несанкционированного съема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позволяет определить кражу информации злоумышленником путем </w:t>
      </w:r>
      <w:proofErr w:type="spellStart"/>
      <w:r>
        <w:rPr>
          <w:lang w:val="ru-BY"/>
        </w:rPr>
        <w:t>макроизгиба</w:t>
      </w:r>
      <w:proofErr w:type="spellEnd"/>
      <w:r>
        <w:rPr>
          <w:lang w:val="ru-BY"/>
        </w:rPr>
        <w:t xml:space="preserve"> оптического волокна при передаче ее по волоконно-оптическому каналу связи.</w:t>
      </w:r>
    </w:p>
    <w:p w14:paraId="0EFD41FE" w14:textId="77777777" w:rsidR="00B25508" w:rsidRPr="00B25508" w:rsidRDefault="00B25508" w:rsidP="00B25508">
      <w:pPr>
        <w:pStyle w:val="DBASE"/>
        <w:rPr>
          <w:lang w:val="ru-BY"/>
        </w:rPr>
      </w:pPr>
    </w:p>
    <w:p w14:paraId="13FDF361" w14:textId="77777777" w:rsidR="00D11590" w:rsidRDefault="00D11590" w:rsidP="00B91853">
      <w:pPr>
        <w:pStyle w:val="DBASE"/>
      </w:pPr>
    </w:p>
    <w:sectPr w:rsidR="00D11590" w:rsidSect="00FE4C03">
      <w:footerReference w:type="default" r:id="rId20"/>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89A32" w14:textId="77777777" w:rsidR="00BB6512" w:rsidRDefault="00BB6512" w:rsidP="005B64C6">
      <w:pPr>
        <w:spacing w:after="0" w:line="240" w:lineRule="auto"/>
      </w:pPr>
      <w:r>
        <w:separator/>
      </w:r>
    </w:p>
  </w:endnote>
  <w:endnote w:type="continuationSeparator" w:id="0">
    <w:p w14:paraId="5A0DAE78" w14:textId="77777777" w:rsidR="00BB6512" w:rsidRDefault="00BB6512"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04F17" w14:textId="77777777" w:rsidR="00BB6512" w:rsidRDefault="00BB6512" w:rsidP="005B64C6">
      <w:pPr>
        <w:spacing w:after="0" w:line="240" w:lineRule="auto"/>
      </w:pPr>
      <w:r>
        <w:separator/>
      </w:r>
    </w:p>
  </w:footnote>
  <w:footnote w:type="continuationSeparator" w:id="0">
    <w:p w14:paraId="06EB3B60" w14:textId="77777777" w:rsidR="00BB6512" w:rsidRDefault="00BB6512"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D0CE7"/>
    <w:rsid w:val="000E2CCD"/>
    <w:rsid w:val="000F6DBE"/>
    <w:rsid w:val="001008A1"/>
    <w:rsid w:val="001139B2"/>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20C0"/>
    <w:rsid w:val="001C7186"/>
    <w:rsid w:val="001D042F"/>
    <w:rsid w:val="00203C84"/>
    <w:rsid w:val="00207646"/>
    <w:rsid w:val="002227AB"/>
    <w:rsid w:val="00222C2A"/>
    <w:rsid w:val="00224FC1"/>
    <w:rsid w:val="002362D0"/>
    <w:rsid w:val="00243ED5"/>
    <w:rsid w:val="0026309B"/>
    <w:rsid w:val="0027039A"/>
    <w:rsid w:val="00273695"/>
    <w:rsid w:val="002747BD"/>
    <w:rsid w:val="0027701E"/>
    <w:rsid w:val="00280A3E"/>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87147"/>
    <w:rsid w:val="00390AA2"/>
    <w:rsid w:val="003A0D74"/>
    <w:rsid w:val="003A1153"/>
    <w:rsid w:val="003A3375"/>
    <w:rsid w:val="003B230F"/>
    <w:rsid w:val="003B7B70"/>
    <w:rsid w:val="003C0BFE"/>
    <w:rsid w:val="003C1E39"/>
    <w:rsid w:val="003C206C"/>
    <w:rsid w:val="003C3C12"/>
    <w:rsid w:val="003E12DE"/>
    <w:rsid w:val="003E63D3"/>
    <w:rsid w:val="003F0E01"/>
    <w:rsid w:val="003F74A9"/>
    <w:rsid w:val="004012F5"/>
    <w:rsid w:val="00401C8C"/>
    <w:rsid w:val="00404FE1"/>
    <w:rsid w:val="00413D93"/>
    <w:rsid w:val="004224DE"/>
    <w:rsid w:val="0045526F"/>
    <w:rsid w:val="00456ADD"/>
    <w:rsid w:val="00461B23"/>
    <w:rsid w:val="00474F75"/>
    <w:rsid w:val="00476A91"/>
    <w:rsid w:val="00497F25"/>
    <w:rsid w:val="004A20C3"/>
    <w:rsid w:val="004C363D"/>
    <w:rsid w:val="004C7A61"/>
    <w:rsid w:val="004C7BFE"/>
    <w:rsid w:val="004D04A4"/>
    <w:rsid w:val="004D1F53"/>
    <w:rsid w:val="00517E6E"/>
    <w:rsid w:val="00541072"/>
    <w:rsid w:val="0057161B"/>
    <w:rsid w:val="00575E30"/>
    <w:rsid w:val="00590A42"/>
    <w:rsid w:val="005912CF"/>
    <w:rsid w:val="00591D43"/>
    <w:rsid w:val="005A34B5"/>
    <w:rsid w:val="005B1554"/>
    <w:rsid w:val="005B4574"/>
    <w:rsid w:val="005B64C6"/>
    <w:rsid w:val="005C33F3"/>
    <w:rsid w:val="005E3726"/>
    <w:rsid w:val="005E644C"/>
    <w:rsid w:val="006103C0"/>
    <w:rsid w:val="00611ACF"/>
    <w:rsid w:val="00623111"/>
    <w:rsid w:val="00637A8D"/>
    <w:rsid w:val="00642A56"/>
    <w:rsid w:val="006445F7"/>
    <w:rsid w:val="00650E50"/>
    <w:rsid w:val="00657BF9"/>
    <w:rsid w:val="00657EEF"/>
    <w:rsid w:val="00662863"/>
    <w:rsid w:val="00663FAA"/>
    <w:rsid w:val="00680C41"/>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8134F"/>
    <w:rsid w:val="0079133F"/>
    <w:rsid w:val="007B6EAD"/>
    <w:rsid w:val="007C66A5"/>
    <w:rsid w:val="007D1C02"/>
    <w:rsid w:val="007E64B1"/>
    <w:rsid w:val="007E71E2"/>
    <w:rsid w:val="007F38AE"/>
    <w:rsid w:val="008008F2"/>
    <w:rsid w:val="00820D0B"/>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24A2"/>
    <w:rsid w:val="008E2C49"/>
    <w:rsid w:val="008E3D7B"/>
    <w:rsid w:val="008E5617"/>
    <w:rsid w:val="008E5FDF"/>
    <w:rsid w:val="008F794C"/>
    <w:rsid w:val="00900483"/>
    <w:rsid w:val="00920FE4"/>
    <w:rsid w:val="00927252"/>
    <w:rsid w:val="00940F70"/>
    <w:rsid w:val="009513BE"/>
    <w:rsid w:val="009722D1"/>
    <w:rsid w:val="00973C0B"/>
    <w:rsid w:val="00985C93"/>
    <w:rsid w:val="00987831"/>
    <w:rsid w:val="00995AF8"/>
    <w:rsid w:val="009A26A5"/>
    <w:rsid w:val="009A6127"/>
    <w:rsid w:val="009B46C3"/>
    <w:rsid w:val="009C2D2E"/>
    <w:rsid w:val="009C4B15"/>
    <w:rsid w:val="009E16F2"/>
    <w:rsid w:val="009E758A"/>
    <w:rsid w:val="009F5086"/>
    <w:rsid w:val="009F794B"/>
    <w:rsid w:val="00A11627"/>
    <w:rsid w:val="00A17BEA"/>
    <w:rsid w:val="00A20268"/>
    <w:rsid w:val="00A213F7"/>
    <w:rsid w:val="00A342C3"/>
    <w:rsid w:val="00A35CEB"/>
    <w:rsid w:val="00A360EB"/>
    <w:rsid w:val="00A41BA4"/>
    <w:rsid w:val="00A52CE2"/>
    <w:rsid w:val="00A74276"/>
    <w:rsid w:val="00A90511"/>
    <w:rsid w:val="00A9220B"/>
    <w:rsid w:val="00A95BDB"/>
    <w:rsid w:val="00A95DCD"/>
    <w:rsid w:val="00AB3456"/>
    <w:rsid w:val="00AB5238"/>
    <w:rsid w:val="00AB54EC"/>
    <w:rsid w:val="00AD3676"/>
    <w:rsid w:val="00AD572D"/>
    <w:rsid w:val="00AD7808"/>
    <w:rsid w:val="00B06A23"/>
    <w:rsid w:val="00B1243C"/>
    <w:rsid w:val="00B25508"/>
    <w:rsid w:val="00B3632C"/>
    <w:rsid w:val="00B4277D"/>
    <w:rsid w:val="00B4331A"/>
    <w:rsid w:val="00B51245"/>
    <w:rsid w:val="00B64823"/>
    <w:rsid w:val="00B91853"/>
    <w:rsid w:val="00B9546A"/>
    <w:rsid w:val="00B95A69"/>
    <w:rsid w:val="00BA44D5"/>
    <w:rsid w:val="00BA5E3F"/>
    <w:rsid w:val="00BB1E5F"/>
    <w:rsid w:val="00BB2908"/>
    <w:rsid w:val="00BB6512"/>
    <w:rsid w:val="00BD4D94"/>
    <w:rsid w:val="00BD6ED4"/>
    <w:rsid w:val="00BE6973"/>
    <w:rsid w:val="00BF796D"/>
    <w:rsid w:val="00C052AB"/>
    <w:rsid w:val="00C36171"/>
    <w:rsid w:val="00C45DA2"/>
    <w:rsid w:val="00C469BA"/>
    <w:rsid w:val="00C472D8"/>
    <w:rsid w:val="00C65FB6"/>
    <w:rsid w:val="00C7244F"/>
    <w:rsid w:val="00CA3CB1"/>
    <w:rsid w:val="00CB0F5F"/>
    <w:rsid w:val="00CB6F2A"/>
    <w:rsid w:val="00CC1131"/>
    <w:rsid w:val="00CC3C76"/>
    <w:rsid w:val="00D11590"/>
    <w:rsid w:val="00D11E71"/>
    <w:rsid w:val="00D1754A"/>
    <w:rsid w:val="00D2071F"/>
    <w:rsid w:val="00D44CDA"/>
    <w:rsid w:val="00D60F93"/>
    <w:rsid w:val="00D67E10"/>
    <w:rsid w:val="00D70CE4"/>
    <w:rsid w:val="00D83081"/>
    <w:rsid w:val="00DA3D27"/>
    <w:rsid w:val="00DB709F"/>
    <w:rsid w:val="00DC072E"/>
    <w:rsid w:val="00DC0991"/>
    <w:rsid w:val="00DC3640"/>
    <w:rsid w:val="00DD1A18"/>
    <w:rsid w:val="00DD4123"/>
    <w:rsid w:val="00DD4B71"/>
    <w:rsid w:val="00DD6320"/>
    <w:rsid w:val="00DE0E99"/>
    <w:rsid w:val="00DF21FA"/>
    <w:rsid w:val="00DF3F3D"/>
    <w:rsid w:val="00E0243F"/>
    <w:rsid w:val="00E21396"/>
    <w:rsid w:val="00E32E64"/>
    <w:rsid w:val="00E413BF"/>
    <w:rsid w:val="00E627F8"/>
    <w:rsid w:val="00E93ABB"/>
    <w:rsid w:val="00E94AD4"/>
    <w:rsid w:val="00E95195"/>
    <w:rsid w:val="00EA513E"/>
    <w:rsid w:val="00EC131F"/>
    <w:rsid w:val="00ED2D70"/>
    <w:rsid w:val="00ED3A77"/>
    <w:rsid w:val="00EF34F8"/>
    <w:rsid w:val="00EF3904"/>
    <w:rsid w:val="00EF40A1"/>
    <w:rsid w:val="00F1640D"/>
    <w:rsid w:val="00F21B42"/>
    <w:rsid w:val="00F2397A"/>
    <w:rsid w:val="00F72886"/>
    <w:rsid w:val="00F75350"/>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54</Pages>
  <Words>14239</Words>
  <Characters>81165</Characters>
  <Application>Microsoft Office Word</Application>
  <DocSecurity>0</DocSecurity>
  <Lines>676</Lines>
  <Paragraphs>190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60</cp:revision>
  <cp:lastPrinted>2023-04-18T18:13:00Z</cp:lastPrinted>
  <dcterms:created xsi:type="dcterms:W3CDTF">2022-12-22T14:47:00Z</dcterms:created>
  <dcterms:modified xsi:type="dcterms:W3CDTF">2023-04-25T19:40:00Z</dcterms:modified>
</cp:coreProperties>
</file>