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1"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1"/>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2"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2"/>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3"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3"/>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4"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4"/>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F410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F410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F41059"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F41059"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5"/>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F41059"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6"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6"/>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7" w:name="_Hlk119348764"/>
      <w:r w:rsidRPr="005A03FD">
        <w:rPr>
          <w:rFonts w:ascii="Times New Roman" w:hAnsi="Times New Roman" w:cs="Times New Roman"/>
          <w:sz w:val="28"/>
          <w:szCs w:val="28"/>
          <w:lang w:val="en-US"/>
        </w:rPr>
        <w:t>ω</w:t>
      </w:r>
      <w:bookmarkEnd w:id="7"/>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F41059"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77777777" w:rsidR="00C743CE" w:rsidRPr="00075F80" w:rsidRDefault="00F41059"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 xml:space="preserve">волноводной дисперсии зависит от радиуса сердцевины, разности показателей преломления сердцевины и оболочки и числа </w:t>
      </w:r>
      <w:r w:rsidR="00410383" w:rsidRPr="00410383">
        <w:rPr>
          <w:rFonts w:ascii="Times New Roman" w:eastAsiaTheme="minorEastAsia" w:hAnsi="Times New Roman" w:cs="Times New Roman"/>
          <w:iCs/>
          <w:sz w:val="28"/>
          <w:szCs w:val="28"/>
        </w:rPr>
        <w:t>оболочек.</w:t>
      </w:r>
      <w:r w:rsidR="00410383" w:rsidRPr="00410383">
        <w:rPr>
          <w:rFonts w:ascii="Times New Roman" w:eastAsiaTheme="minorEastAsia" w:hAnsi="Times New Roman" w:cs="Times New Roman"/>
          <w:iCs/>
          <w:sz w:val="28"/>
          <w:szCs w:val="28"/>
        </w:rPr>
        <w:t xml:space="preserve">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r w:rsidRPr="00A101EC">
        <w:rPr>
          <w:rFonts w:ascii="Times New Roman" w:hAnsi="Times New Roman" w:cs="Times New Roman"/>
          <w:iCs/>
          <w:sz w:val="28"/>
          <w:szCs w:val="28"/>
        </w:rPr>
        <w:t>;</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r w:rsidRPr="00A101EC">
        <w:rPr>
          <w:rFonts w:ascii="Times New Roman" w:hAnsi="Times New Roman" w:cs="Times New Roman"/>
          <w:iCs/>
          <w:sz w:val="28"/>
          <w:szCs w:val="28"/>
        </w:rPr>
        <w:t>;</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r w:rsidRPr="00A101EC">
        <w:rPr>
          <w:rFonts w:ascii="Times New Roman" w:hAnsi="Times New Roman" w:cs="Times New Roman"/>
          <w:iCs/>
          <w:sz w:val="28"/>
          <w:szCs w:val="28"/>
        </w:rPr>
        <w:t>;</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r w:rsidRPr="00A101EC">
        <w:rPr>
          <w:rFonts w:ascii="Times New Roman" w:hAnsi="Times New Roman" w:cs="Times New Roman"/>
          <w:iCs/>
          <w:sz w:val="28"/>
          <w:szCs w:val="28"/>
        </w:rPr>
        <w:t>;</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r w:rsidRPr="00A101EC">
        <w:rPr>
          <w:rFonts w:ascii="Times New Roman" w:hAnsi="Times New Roman" w:cs="Times New Roman"/>
          <w:iCs/>
          <w:sz w:val="28"/>
          <w:szCs w:val="28"/>
        </w:rPr>
        <w:t>;</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w:t>
      </w:r>
      <w:r w:rsidRP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bookmarkStart w:id="8" w:name="_GoBack"/>
      <w:bookmarkEnd w:id="8"/>
    </w:p>
    <w:p w14:paraId="69F50EFF" w14:textId="77777777" w:rsidR="00A9769D" w:rsidRPr="00A101EC" w:rsidRDefault="00A9769D" w:rsidP="005B71D0">
      <w:pPr>
        <w:spacing w:after="0" w:line="360" w:lineRule="atLeast"/>
        <w:ind w:firstLine="709"/>
        <w:jc w:val="both"/>
        <w:rPr>
          <w:rFonts w:ascii="Times New Roman" w:hAnsi="Times New Roman" w:cs="Times New Roman"/>
          <w:iCs/>
          <w:sz w:val="28"/>
          <w:szCs w:val="28"/>
        </w:rPr>
      </w:pPr>
    </w:p>
    <w:sectPr w:rsidR="00A9769D" w:rsidRPr="00A101EC" w:rsidSect="005B64C6">
      <w:footerReference w:type="default" r:id="rId13"/>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699CC" w14:textId="77777777" w:rsidR="00F41059" w:rsidRDefault="00F41059" w:rsidP="005B64C6">
      <w:pPr>
        <w:spacing w:after="0" w:line="240" w:lineRule="auto"/>
      </w:pPr>
      <w:r>
        <w:separator/>
      </w:r>
    </w:p>
  </w:endnote>
  <w:endnote w:type="continuationSeparator" w:id="0">
    <w:p w14:paraId="56906572" w14:textId="77777777" w:rsidR="00F41059" w:rsidRDefault="00F41059"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1C36" w14:textId="77777777" w:rsidR="00F41059" w:rsidRDefault="00F41059" w:rsidP="005B64C6">
      <w:pPr>
        <w:spacing w:after="0" w:line="240" w:lineRule="auto"/>
      </w:pPr>
      <w:r>
        <w:separator/>
      </w:r>
    </w:p>
  </w:footnote>
  <w:footnote w:type="continuationSeparator" w:id="0">
    <w:p w14:paraId="3D1A7880" w14:textId="77777777" w:rsidR="00F41059" w:rsidRDefault="00F41059"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42CE7"/>
    <w:rsid w:val="00070D64"/>
    <w:rsid w:val="000958BD"/>
    <w:rsid w:val="000A265A"/>
    <w:rsid w:val="000B7D36"/>
    <w:rsid w:val="000D0FB9"/>
    <w:rsid w:val="000D4C34"/>
    <w:rsid w:val="00114EDA"/>
    <w:rsid w:val="00136BE6"/>
    <w:rsid w:val="0015414B"/>
    <w:rsid w:val="001775F6"/>
    <w:rsid w:val="001B003D"/>
    <w:rsid w:val="001C5279"/>
    <w:rsid w:val="001C6BA6"/>
    <w:rsid w:val="001D04AE"/>
    <w:rsid w:val="00205396"/>
    <w:rsid w:val="0022569C"/>
    <w:rsid w:val="002E04B5"/>
    <w:rsid w:val="002F1E05"/>
    <w:rsid w:val="00316B78"/>
    <w:rsid w:val="003300DB"/>
    <w:rsid w:val="003624FE"/>
    <w:rsid w:val="00380D39"/>
    <w:rsid w:val="00384706"/>
    <w:rsid w:val="00390AA2"/>
    <w:rsid w:val="003C330E"/>
    <w:rsid w:val="003E63FB"/>
    <w:rsid w:val="004010CA"/>
    <w:rsid w:val="00410383"/>
    <w:rsid w:val="00420576"/>
    <w:rsid w:val="00436700"/>
    <w:rsid w:val="00444EE5"/>
    <w:rsid w:val="00461B23"/>
    <w:rsid w:val="004B0B14"/>
    <w:rsid w:val="004C77DB"/>
    <w:rsid w:val="00561061"/>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B002C"/>
    <w:rsid w:val="007B3963"/>
    <w:rsid w:val="007B3CF8"/>
    <w:rsid w:val="008008F2"/>
    <w:rsid w:val="008476E3"/>
    <w:rsid w:val="008828B9"/>
    <w:rsid w:val="008D0CF1"/>
    <w:rsid w:val="008D7109"/>
    <w:rsid w:val="008E0DA4"/>
    <w:rsid w:val="008E5617"/>
    <w:rsid w:val="00912FEB"/>
    <w:rsid w:val="00957EEF"/>
    <w:rsid w:val="009C1AA5"/>
    <w:rsid w:val="009C2573"/>
    <w:rsid w:val="009C4B15"/>
    <w:rsid w:val="009C7461"/>
    <w:rsid w:val="009E4053"/>
    <w:rsid w:val="00A101EC"/>
    <w:rsid w:val="00A1373B"/>
    <w:rsid w:val="00A377DA"/>
    <w:rsid w:val="00A43C9A"/>
    <w:rsid w:val="00A63FDC"/>
    <w:rsid w:val="00A74276"/>
    <w:rsid w:val="00A93ECB"/>
    <w:rsid w:val="00A9769D"/>
    <w:rsid w:val="00AC500B"/>
    <w:rsid w:val="00B1243C"/>
    <w:rsid w:val="00B13B01"/>
    <w:rsid w:val="00B2671D"/>
    <w:rsid w:val="00B5507D"/>
    <w:rsid w:val="00C17887"/>
    <w:rsid w:val="00C36171"/>
    <w:rsid w:val="00C743CE"/>
    <w:rsid w:val="00C8571A"/>
    <w:rsid w:val="00C9450A"/>
    <w:rsid w:val="00CB612B"/>
    <w:rsid w:val="00CD77D8"/>
    <w:rsid w:val="00CE2CB0"/>
    <w:rsid w:val="00CF18EA"/>
    <w:rsid w:val="00D1754A"/>
    <w:rsid w:val="00D45AC5"/>
    <w:rsid w:val="00D70CE4"/>
    <w:rsid w:val="00D85B80"/>
    <w:rsid w:val="00DA2A0E"/>
    <w:rsid w:val="00DB06D1"/>
    <w:rsid w:val="00DD1A18"/>
    <w:rsid w:val="00DE224D"/>
    <w:rsid w:val="00E0243F"/>
    <w:rsid w:val="00E02C80"/>
    <w:rsid w:val="00EB20FE"/>
    <w:rsid w:val="00EB5593"/>
    <w:rsid w:val="00EE5101"/>
    <w:rsid w:val="00EE656B"/>
    <w:rsid w:val="00EF62C8"/>
    <w:rsid w:val="00F41059"/>
    <w:rsid w:val="00F63077"/>
    <w:rsid w:val="00F8034A"/>
    <w:rsid w:val="00F85836"/>
    <w:rsid w:val="00FA5C4B"/>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3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18</Pages>
  <Words>5228</Words>
  <Characters>29800</Characters>
  <Application>Microsoft Office Word</Application>
  <DocSecurity>0</DocSecurity>
  <Lines>248</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2022-12-12T17:53:00Z</dcterms:created>
  <dcterms:modified xsi:type="dcterms:W3CDTF">2022-12-13T17:04:00Z</dcterms:modified>
</cp:coreProperties>
</file>