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850"/>
      </w:tblGrid>
      <w:tr w:rsidR="00A855A9" w:rsidRPr="00E60E48" w14:paraId="59F58178" w14:textId="77777777" w:rsidTr="00763765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763765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E44885">
            <w:pPr>
              <w:ind w:left="53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2EB0A0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86BC9">
              <w:rPr>
                <w:sz w:val="24"/>
                <w:szCs w:val="24"/>
                <w:lang w:val="en-US"/>
              </w:rPr>
              <w:t>9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71317EEC" w:rsidR="00963975" w:rsidRPr="00B833AE" w:rsidRDefault="00E4488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833AE"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.468165.001</w:t>
            </w:r>
            <w:r w:rsidR="00B833AE" w:rsidRPr="00B833AE">
              <w:rPr>
                <w:sz w:val="24"/>
                <w:szCs w:val="24"/>
              </w:rPr>
              <w:t xml:space="preserve"> </w:t>
            </w:r>
            <w:r w:rsidR="00B833AE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69AD41CC" w:rsidR="00963975" w:rsidRPr="00763765" w:rsidRDefault="00763765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Виды оптических волокон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963975" w14:paraId="47D2C623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116A7C5E" w:rsidR="00502369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.468165.002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02369" w14:paraId="48D171E7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5DC38B9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.468165.003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</w:rPr>
              <w:t xml:space="preserve"> </w:t>
            </w:r>
            <w:r w:rsidRPr="006913F2">
              <w:rPr>
                <w:sz w:val="24"/>
                <w:szCs w:val="24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7D6B1738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.468165.004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</w:rPr>
              <w:t>без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418ACDD4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35B0A24C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.468165.005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30434D88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4A052ED6" w:rsidR="005D6D00" w:rsidRPr="00502369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.468165.006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EFD7693" w:rsidR="005D6D00" w:rsidRPr="00763765" w:rsidRDefault="00763765" w:rsidP="005D6D00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Классификация оптических кабелей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763765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763765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D50A9D9" w:rsidR="005D6D00" w:rsidRPr="00886BC9" w:rsidRDefault="005D6D00" w:rsidP="005D6D00">
            <w:pPr>
              <w:pStyle w:val="4"/>
              <w:ind w:right="175"/>
              <w:rPr>
                <w:i/>
                <w:sz w:val="24"/>
                <w:lang w:val="ru-BY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</w:rPr>
              <w:t>31</w:t>
            </w:r>
            <w:r w:rsidRPr="00775C72">
              <w:rPr>
                <w:i/>
                <w:sz w:val="24"/>
              </w:rPr>
              <w:t xml:space="preserve"> </w:t>
            </w:r>
            <w:r w:rsidR="00886BC9">
              <w:rPr>
                <w:i/>
                <w:sz w:val="24"/>
                <w:lang w:val="ru-BY"/>
              </w:rPr>
              <w:t>ПЗ</w:t>
            </w:r>
          </w:p>
        </w:tc>
      </w:tr>
      <w:tr w:rsidR="005D6D00" w14:paraId="3E25AB80" w14:textId="77777777" w:rsidTr="0076376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76376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763765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</w:rPr>
              <w:t>перехвата</w:t>
            </w:r>
            <w:r>
              <w:rPr>
                <w:i/>
                <w:sz w:val="24"/>
                <w:szCs w:val="24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763765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</w:rPr>
              <w:t>69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69</w:t>
            </w:r>
          </w:p>
        </w:tc>
      </w:tr>
      <w:tr w:rsidR="005D6D00" w14:paraId="0EFE97F1" w14:textId="77777777" w:rsidTr="00763765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428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</w:rPr>
              <w:t>1401</w:t>
            </w:r>
          </w:p>
        </w:tc>
      </w:tr>
      <w:tr w:rsidR="005D6D00" w14:paraId="6B998138" w14:textId="77777777" w:rsidTr="00763765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763765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763765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Борботько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4F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4F3CB3"/>
    <w:rsid w:val="00502369"/>
    <w:rsid w:val="00505A89"/>
    <w:rsid w:val="00512D96"/>
    <w:rsid w:val="00541CE9"/>
    <w:rsid w:val="005524A4"/>
    <w:rsid w:val="00554537"/>
    <w:rsid w:val="005D6D00"/>
    <w:rsid w:val="006913F2"/>
    <w:rsid w:val="006A6FFA"/>
    <w:rsid w:val="006C4F7C"/>
    <w:rsid w:val="006F6089"/>
    <w:rsid w:val="00763765"/>
    <w:rsid w:val="0077221A"/>
    <w:rsid w:val="007A758A"/>
    <w:rsid w:val="007C69FA"/>
    <w:rsid w:val="008718B7"/>
    <w:rsid w:val="0087483E"/>
    <w:rsid w:val="0088175C"/>
    <w:rsid w:val="008839D1"/>
    <w:rsid w:val="00883C6D"/>
    <w:rsid w:val="00886BC9"/>
    <w:rsid w:val="008E7213"/>
    <w:rsid w:val="00963975"/>
    <w:rsid w:val="0097492F"/>
    <w:rsid w:val="00985F99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44885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2023-05-22T19:11:00Z</dcterms:created>
  <dcterms:modified xsi:type="dcterms:W3CDTF">2023-05-24T18:02:00Z</dcterms:modified>
</cp:coreProperties>
</file>