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ptos" w:hAnsi="Aptos"/>
          <w:b/>
          <w:i w:val="0"/>
          <w:color w:val="D88B25"/>
          <w:sz w:val="22"/>
        </w:rPr>
        <w:t>EDRILL FAMILY BURSARY</w:t>
      </w:r>
    </w:p>
    <w:p>
      <w:pPr>
        <w:jc w:val="center"/>
      </w:pPr>
      <w:r>
        <w:rPr>
          <w:rFonts w:ascii="Aptos Display" w:hAnsi="Aptos Display"/>
          <w:b/>
          <w:i w:val="0"/>
          <w:color w:val="17365D"/>
          <w:sz w:val="48"/>
        </w:rPr>
        <w:t>Administration Procedure</w:t>
      </w:r>
    </w:p>
    <w:p>
      <w:pPr>
        <w:jc w:val="center"/>
      </w:pPr>
      <w:r>
        <w:rPr>
          <w:rFonts w:ascii="Aptos" w:hAnsi="Aptos"/>
          <w:b/>
          <w:i w:val="0"/>
          <w:color w:val="2F75B5"/>
          <w:sz w:val="22"/>
        </w:rPr>
        <w:t>Version 1.6  |  Approved</w:t>
      </w:r>
    </w:p>
    <w:p>
      <w:pPr>
        <w:jc w:val="center"/>
      </w:pPr>
      <w:r>
        <w:rPr>
          <w:rFonts w:ascii="Aptos" w:hAnsi="Aptos"/>
          <w:b w:val="0"/>
          <w:i w:val="0"/>
          <w:color w:val="666666"/>
          <w:sz w:val="18"/>
        </w:rPr>
        <w:t>Thailand operations  |  Effective 1 October 2026</w:t>
      </w:r>
    </w:p>
    <w:p/>
    <w:p/>
    <w:p/>
    <w:p/>
    <w:p/>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68"/>
        <w:gridCol w:w="3528"/>
        <w:gridCol w:w="3024"/>
      </w:tblGrid>
      <w:tr>
        <w:trPr>
          <w:tblHeader w:val="true"/>
          <w:cantSplit/>
        </w:trPr>
        <w:tc>
          <w:tcPr>
            <w:tcW w:type="dxa" w:w="3168"/>
            <w:tcMar>
              <w:top w:w="90" w:type="dxa"/>
              <w:start w:w="110" w:type="dxa"/>
              <w:bottom w:w="90" w:type="dxa"/>
              <w:end w:w="110" w:type="dxa"/>
            </w:tcMar>
            <w:shd w:fill="DCE6F1"/>
            <w:vAlign w:val="center"/>
          </w:tcPr>
          <w:p>
            <w:pPr>
              <w:spacing w:after="0"/>
            </w:pPr>
            <w:r>
              <w:rPr>
                <w:rFonts w:ascii="Aptos" w:hAnsi="Aptos"/>
                <w:b/>
                <w:i w:val="0"/>
                <w:color w:val="17365D"/>
                <w:sz w:val="17"/>
              </w:rPr>
              <w:t>Document owner</w:t>
            </w:r>
          </w:p>
        </w:tc>
        <w:tc>
          <w:tcPr>
            <w:tcW w:type="dxa" w:w="3528"/>
            <w:tcMar>
              <w:top w:w="90" w:type="dxa"/>
              <w:start w:w="110" w:type="dxa"/>
              <w:bottom w:w="90" w:type="dxa"/>
              <w:end w:w="110" w:type="dxa"/>
            </w:tcMar>
            <w:shd w:fill="DCE6F1"/>
            <w:vAlign w:val="center"/>
          </w:tcPr>
          <w:p>
            <w:pPr>
              <w:spacing w:after="0"/>
            </w:pPr>
            <w:r>
              <w:rPr>
                <w:rFonts w:ascii="Aptos" w:hAnsi="Aptos"/>
                <w:b/>
                <w:i w:val="0"/>
                <w:color w:val="17365D"/>
                <w:sz w:val="17"/>
              </w:rPr>
              <w:t>Administrator</w:t>
            </w:r>
          </w:p>
        </w:tc>
        <w:tc>
          <w:tcPr>
            <w:tcW w:type="dxa" w:w="3024"/>
            <w:tcMar>
              <w:top w:w="90" w:type="dxa"/>
              <w:start w:w="110" w:type="dxa"/>
              <w:bottom w:w="90" w:type="dxa"/>
              <w:end w:w="110" w:type="dxa"/>
            </w:tcMar>
            <w:shd w:fill="DCE6F1"/>
            <w:vAlign w:val="center"/>
          </w:tcPr>
          <w:p>
            <w:pPr>
              <w:spacing w:after="0"/>
            </w:pPr>
            <w:r>
              <w:rPr>
                <w:rFonts w:ascii="Aptos" w:hAnsi="Aptos"/>
                <w:b/>
                <w:i w:val="0"/>
                <w:color w:val="17365D"/>
                <w:sz w:val="17"/>
              </w:rPr>
              <w:t>Approved by</w:t>
            </w:r>
          </w:p>
        </w:tc>
      </w:tr>
      <w:tr>
        <w:trPr>
          <w:cantSplit/>
        </w:trPr>
        <w:tc>
          <w:tcPr>
            <w:tcW w:type="dxa" w:w="3168"/>
            <w:vAlign w:val="center"/>
          </w:tcPr>
          <w:p>
            <w:pPr>
              <w:spacing w:after="0" w:line="240" w:lineRule="auto"/>
            </w:pPr>
            <w:r>
              <w:rPr>
                <w:rFonts w:ascii="Aptos" w:hAnsi="Aptos"/>
                <w:b w:val="0"/>
                <w:i w:val="0"/>
                <w:color w:val="000000"/>
                <w:sz w:val="17"/>
              </w:rPr>
              <w:t>Bursary Committee Chairman</w:t>
            </w:r>
          </w:p>
        </w:tc>
        <w:tc>
          <w:tcPr>
            <w:tcW w:type="dxa" w:w="3528"/>
            <w:vAlign w:val="center"/>
          </w:tcPr>
          <w:p>
            <w:pPr>
              <w:spacing w:after="0" w:line="240" w:lineRule="auto"/>
            </w:pPr>
            <w:r>
              <w:rPr>
                <w:rFonts w:ascii="Aptos" w:hAnsi="Aptos"/>
                <w:b w:val="0"/>
                <w:i w:val="0"/>
                <w:color w:val="000000"/>
                <w:sz w:val="17"/>
              </w:rPr>
              <w:t>Bangkok Office / Bursary Administrator</w:t>
            </w:r>
          </w:p>
        </w:tc>
        <w:tc>
          <w:tcPr>
            <w:tcW w:type="dxa" w:w="3024"/>
            <w:vAlign w:val="center"/>
          </w:tcPr>
          <w:p>
            <w:pPr>
              <w:spacing w:after="0" w:line="240" w:lineRule="auto"/>
            </w:pPr>
            <w:r>
              <w:rPr>
                <w:rFonts w:ascii="Aptos" w:hAnsi="Aptos"/>
                <w:b w:val="0"/>
                <w:i w:val="0"/>
                <w:color w:val="000000"/>
                <w:sz w:val="17"/>
              </w:rPr>
              <w:t>Executive Sponsor and Bursary Committee</w:t>
            </w:r>
          </w:p>
        </w:tc>
      </w:tr>
    </w:tbl>
    <w:p>
      <w:r>
        <w:br w:type="page"/>
      </w:r>
    </w:p>
    <w:p>
      <w:pPr>
        <w:pStyle w:val="Heading1"/>
      </w:pPr>
      <w:r>
        <w:t>1. Approval</w:t>
      </w:r>
    </w:p>
    <w:p>
      <w:r>
        <w:t>This Procedure is approved for use from the effective date shown on the cover. The Executive Sponsor approves the Annual Planning Note before applications open for each Award Year.</w:t>
      </w:r>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240"/>
        <w:gridCol w:w="1800"/>
        <w:gridCol w:w="1655"/>
      </w:tblGrid>
      <w:tr>
        <w:trPr>
          <w:tblHeader w:val="true"/>
          <w:cantSplit/>
        </w:trPr>
        <w:tc>
          <w:tcPr>
            <w:tcW w:type="dxa" w:w="3024"/>
            <w:tcMar>
              <w:top w:w="90" w:type="dxa"/>
              <w:start w:w="110" w:type="dxa"/>
              <w:bottom w:w="90" w:type="dxa"/>
              <w:end w:w="110" w:type="dxa"/>
            </w:tcMar>
            <w:shd w:fill="DCE6F1"/>
            <w:vAlign w:val="center"/>
          </w:tcPr>
          <w:p>
            <w:pPr>
              <w:spacing w:after="0"/>
            </w:pPr>
            <w:r>
              <w:rPr>
                <w:rFonts w:ascii="Aptos" w:hAnsi="Aptos"/>
                <w:b/>
                <w:i w:val="0"/>
                <w:color w:val="17365D"/>
                <w:sz w:val="16"/>
              </w:rPr>
              <w:t>Role</w:t>
            </w:r>
          </w:p>
        </w:tc>
        <w:tc>
          <w:tcPr>
            <w:tcW w:type="dxa" w:w="3240"/>
            <w:tcMar>
              <w:top w:w="90" w:type="dxa"/>
              <w:start w:w="110" w:type="dxa"/>
              <w:bottom w:w="90" w:type="dxa"/>
              <w:end w:w="110" w:type="dxa"/>
            </w:tcMar>
            <w:shd w:fill="DCE6F1"/>
            <w:vAlign w:val="center"/>
          </w:tcPr>
          <w:p>
            <w:pPr>
              <w:spacing w:after="0"/>
            </w:pPr>
            <w:r>
              <w:rPr>
                <w:rFonts w:ascii="Aptos" w:hAnsi="Aptos"/>
                <w:b/>
                <w:i w:val="0"/>
                <w:color w:val="17365D"/>
                <w:sz w:val="16"/>
              </w:rPr>
              <w:t>Approval</w:t>
            </w:r>
          </w:p>
        </w:tc>
        <w:tc>
          <w:tcPr>
            <w:tcW w:type="dxa" w:w="1800"/>
            <w:tcMar>
              <w:top w:w="90" w:type="dxa"/>
              <w:start w:w="110" w:type="dxa"/>
              <w:bottom w:w="90" w:type="dxa"/>
              <w:end w:w="110" w:type="dxa"/>
            </w:tcMar>
            <w:shd w:fill="DCE6F1"/>
            <w:vAlign w:val="center"/>
          </w:tcPr>
          <w:p>
            <w:pPr>
              <w:spacing w:after="0"/>
            </w:pPr>
            <w:r>
              <w:rPr>
                <w:rFonts w:ascii="Aptos" w:hAnsi="Aptos"/>
                <w:b/>
                <w:i w:val="0"/>
                <w:color w:val="17365D"/>
                <w:sz w:val="16"/>
              </w:rPr>
              <w:t>Signature</w:t>
            </w:r>
          </w:p>
        </w:tc>
        <w:tc>
          <w:tcPr>
            <w:tcW w:type="dxa" w:w="1656"/>
            <w:tcMar>
              <w:top w:w="90" w:type="dxa"/>
              <w:start w:w="110" w:type="dxa"/>
              <w:bottom w:w="90" w:type="dxa"/>
              <w:end w:w="110" w:type="dxa"/>
            </w:tcMar>
            <w:shd w:fill="DCE6F1"/>
            <w:vAlign w:val="center"/>
          </w:tcPr>
          <w:p>
            <w:pPr>
              <w:spacing w:after="0"/>
            </w:pPr>
            <w:r>
              <w:rPr>
                <w:rFonts w:ascii="Aptos" w:hAnsi="Aptos"/>
                <w:b/>
                <w:i w:val="0"/>
                <w:color w:val="17365D"/>
                <w:sz w:val="16"/>
              </w:rPr>
              <w:t>Date</w:t>
            </w:r>
          </w:p>
        </w:tc>
      </w:tr>
      <w:tr>
        <w:trPr>
          <w:cantSplit/>
        </w:trPr>
        <w:tc>
          <w:tcPr>
            <w:tcW w:type="dxa" w:w="3024"/>
            <w:vAlign w:val="center"/>
          </w:tcPr>
          <w:p>
            <w:pPr>
              <w:spacing w:after="0" w:line="240" w:lineRule="auto"/>
            </w:pPr>
            <w:r>
              <w:rPr>
                <w:rFonts w:ascii="Aptos" w:hAnsi="Aptos"/>
                <w:b w:val="0"/>
                <w:i w:val="0"/>
                <w:color w:val="000000"/>
                <w:sz w:val="16"/>
              </w:rPr>
              <w:t>Executive Sponsor</w:t>
            </w:r>
          </w:p>
        </w:tc>
        <w:tc>
          <w:tcPr>
            <w:tcW w:type="dxa" w:w="3240"/>
            <w:vAlign w:val="center"/>
          </w:tcPr>
          <w:p>
            <w:pPr>
              <w:spacing w:after="0" w:line="240" w:lineRule="auto"/>
            </w:pPr>
            <w:r>
              <w:rPr>
                <w:rFonts w:ascii="Aptos" w:hAnsi="Aptos"/>
                <w:b w:val="0"/>
                <w:i w:val="0"/>
                <w:color w:val="000000"/>
                <w:sz w:val="16"/>
              </w:rPr>
              <w:t>Approved</w:t>
            </w:r>
          </w:p>
        </w:tc>
        <w:tc>
          <w:tcPr>
            <w:tcW w:type="dxa" w:w="1800"/>
            <w:vAlign w:val="center"/>
          </w:tcPr>
          <w:p>
            <w:pPr>
              <w:spacing w:after="0" w:line="240" w:lineRule="auto"/>
            </w:pPr>
            <w:r>
              <w:rPr>
                <w:rFonts w:ascii="Aptos" w:hAnsi="Aptos"/>
                <w:b w:val="0"/>
                <w:i w:val="0"/>
                <w:color w:val="000000"/>
                <w:sz w:val="16"/>
              </w:rPr>
            </w:r>
          </w:p>
        </w:tc>
        <w:tc>
          <w:tcPr>
            <w:tcW w:type="dxa" w:w="1655"/>
            <w:vAlign w:val="center"/>
          </w:tcPr>
          <w:p>
            <w:pPr>
              <w:spacing w:after="0" w:line="240" w:lineRule="auto"/>
            </w:pPr>
            <w:r>
              <w:rPr>
                <w:rFonts w:ascii="Aptos" w:hAnsi="Aptos"/>
                <w:b w:val="0"/>
                <w:i w:val="0"/>
                <w:color w:val="000000"/>
                <w:sz w:val="16"/>
              </w:rPr>
            </w:r>
          </w:p>
        </w:tc>
      </w:tr>
      <w:tr>
        <w:trPr>
          <w:cantSplit/>
        </w:trPr>
        <w:tc>
          <w:tcPr>
            <w:tcW w:type="dxa" w:w="3024"/>
            <w:shd w:fill="F8FAFC"/>
            <w:vAlign w:val="center"/>
          </w:tcPr>
          <w:p>
            <w:pPr>
              <w:spacing w:after="0" w:line="240" w:lineRule="auto"/>
            </w:pPr>
            <w:r>
              <w:rPr>
                <w:rFonts w:ascii="Aptos" w:hAnsi="Aptos"/>
                <w:b w:val="0"/>
                <w:i w:val="0"/>
                <w:color w:val="000000"/>
                <w:sz w:val="16"/>
              </w:rPr>
              <w:t>Bursary Committee Chairman</w:t>
            </w:r>
          </w:p>
        </w:tc>
        <w:tc>
          <w:tcPr>
            <w:tcW w:type="dxa" w:w="3240"/>
            <w:shd w:fill="F8FAFC"/>
            <w:vAlign w:val="center"/>
          </w:tcPr>
          <w:p>
            <w:pPr>
              <w:spacing w:after="0" w:line="240" w:lineRule="auto"/>
            </w:pPr>
            <w:r>
              <w:rPr>
                <w:rFonts w:ascii="Aptos" w:hAnsi="Aptos"/>
                <w:b w:val="0"/>
                <w:i w:val="0"/>
                <w:color w:val="000000"/>
                <w:sz w:val="16"/>
              </w:rPr>
              <w:t>Approved</w:t>
            </w:r>
          </w:p>
        </w:tc>
        <w:tc>
          <w:tcPr>
            <w:tcW w:type="dxa" w:w="1800"/>
            <w:shd w:fill="F8FAFC"/>
            <w:vAlign w:val="center"/>
          </w:tcPr>
          <w:p>
            <w:pPr>
              <w:spacing w:after="0" w:line="240" w:lineRule="auto"/>
            </w:pPr>
            <w:r>
              <w:rPr>
                <w:rFonts w:ascii="Aptos" w:hAnsi="Aptos"/>
                <w:b w:val="0"/>
                <w:i w:val="0"/>
                <w:color w:val="000000"/>
                <w:sz w:val="16"/>
              </w:rPr>
            </w:r>
          </w:p>
        </w:tc>
        <w:tc>
          <w:tcPr>
            <w:tcW w:type="dxa" w:w="1655"/>
            <w:shd w:fill="F8FAFC"/>
            <w:vAlign w:val="center"/>
          </w:tcPr>
          <w:p>
            <w:pPr>
              <w:spacing w:after="0" w:line="240" w:lineRule="auto"/>
            </w:pPr>
            <w:r>
              <w:rPr>
                <w:rFonts w:ascii="Aptos" w:hAnsi="Aptos"/>
                <w:b w:val="0"/>
                <w:i w:val="0"/>
                <w:color w:val="000000"/>
                <w:sz w:val="16"/>
              </w:rPr>
            </w:r>
          </w:p>
        </w:tc>
      </w:tr>
      <w:tr>
        <w:trPr>
          <w:cantSplit/>
        </w:trPr>
        <w:tc>
          <w:tcPr>
            <w:tcW w:type="dxa" w:w="3024"/>
            <w:vAlign w:val="center"/>
          </w:tcPr>
          <w:p>
            <w:pPr>
              <w:spacing w:after="0" w:line="240" w:lineRule="auto"/>
            </w:pPr>
            <w:r>
              <w:rPr>
                <w:rFonts w:ascii="Aptos" w:hAnsi="Aptos"/>
                <w:b w:val="0"/>
                <w:i w:val="0"/>
                <w:color w:val="000000"/>
                <w:sz w:val="16"/>
              </w:rPr>
              <w:t>HR / Bangkok Administrator</w:t>
            </w:r>
          </w:p>
        </w:tc>
        <w:tc>
          <w:tcPr>
            <w:tcW w:type="dxa" w:w="3240"/>
            <w:vAlign w:val="center"/>
          </w:tcPr>
          <w:p>
            <w:pPr>
              <w:spacing w:after="0" w:line="240" w:lineRule="auto"/>
            </w:pPr>
            <w:r>
              <w:rPr>
                <w:rFonts w:ascii="Aptos" w:hAnsi="Aptos"/>
                <w:b w:val="0"/>
                <w:i w:val="0"/>
                <w:color w:val="000000"/>
                <w:sz w:val="16"/>
              </w:rPr>
              <w:t>Procedure confirmed</w:t>
            </w:r>
          </w:p>
        </w:tc>
        <w:tc>
          <w:tcPr>
            <w:tcW w:type="dxa" w:w="1800"/>
            <w:vAlign w:val="center"/>
          </w:tcPr>
          <w:p>
            <w:pPr>
              <w:spacing w:after="0" w:line="240" w:lineRule="auto"/>
            </w:pPr>
            <w:r>
              <w:rPr>
                <w:rFonts w:ascii="Aptos" w:hAnsi="Aptos"/>
                <w:b w:val="0"/>
                <w:i w:val="0"/>
                <w:color w:val="000000"/>
                <w:sz w:val="16"/>
              </w:rPr>
            </w:r>
          </w:p>
        </w:tc>
        <w:tc>
          <w:tcPr>
            <w:tcW w:type="dxa" w:w="1655"/>
            <w:vAlign w:val="center"/>
          </w:tcPr>
          <w:p>
            <w:pPr>
              <w:spacing w:after="0" w:line="240" w:lineRule="auto"/>
            </w:pPr>
            <w:r>
              <w:rPr>
                <w:rFonts w:ascii="Aptos" w:hAnsi="Aptos"/>
                <w:b w:val="0"/>
                <w:i w:val="0"/>
                <w:color w:val="000000"/>
                <w:sz w:val="16"/>
              </w:rPr>
            </w:r>
          </w:p>
        </w:tc>
      </w:tr>
      <w:tr>
        <w:trPr>
          <w:cantSplit/>
        </w:trPr>
        <w:tc>
          <w:tcPr>
            <w:tcW w:type="dxa" w:w="3024"/>
            <w:shd w:fill="F8FAFC"/>
            <w:vAlign w:val="center"/>
          </w:tcPr>
          <w:p>
            <w:pPr>
              <w:spacing w:after="0" w:line="240" w:lineRule="auto"/>
            </w:pPr>
            <w:r>
              <w:rPr>
                <w:rFonts w:ascii="Aptos" w:hAnsi="Aptos"/>
                <w:b w:val="0"/>
                <w:i w:val="0"/>
                <w:color w:val="000000"/>
                <w:sz w:val="16"/>
              </w:rPr>
              <w:t>Finance / Payroll</w:t>
            </w:r>
          </w:p>
        </w:tc>
        <w:tc>
          <w:tcPr>
            <w:tcW w:type="dxa" w:w="3240"/>
            <w:shd w:fill="F8FAFC"/>
            <w:vAlign w:val="center"/>
          </w:tcPr>
          <w:p>
            <w:pPr>
              <w:spacing w:after="0" w:line="240" w:lineRule="auto"/>
            </w:pPr>
            <w:r>
              <w:rPr>
                <w:rFonts w:ascii="Aptos" w:hAnsi="Aptos"/>
                <w:b w:val="0"/>
                <w:i w:val="0"/>
                <w:color w:val="000000"/>
                <w:sz w:val="16"/>
              </w:rPr>
              <w:t>Payment arrangements confirmed</w:t>
            </w:r>
          </w:p>
        </w:tc>
        <w:tc>
          <w:tcPr>
            <w:tcW w:type="dxa" w:w="1800"/>
            <w:shd w:fill="F8FAFC"/>
            <w:vAlign w:val="center"/>
          </w:tcPr>
          <w:p>
            <w:pPr>
              <w:spacing w:after="0" w:line="240" w:lineRule="auto"/>
            </w:pPr>
            <w:r>
              <w:rPr>
                <w:rFonts w:ascii="Aptos" w:hAnsi="Aptos"/>
                <w:b w:val="0"/>
                <w:i w:val="0"/>
                <w:color w:val="000000"/>
                <w:sz w:val="16"/>
              </w:rPr>
            </w:r>
          </w:p>
        </w:tc>
        <w:tc>
          <w:tcPr>
            <w:tcW w:type="dxa" w:w="1655"/>
            <w:shd w:fill="F8FAFC"/>
            <w:vAlign w:val="center"/>
          </w:tcPr>
          <w:p>
            <w:pPr>
              <w:spacing w:after="0" w:line="240" w:lineRule="auto"/>
            </w:pPr>
            <w:r>
              <w:rPr>
                <w:rFonts w:ascii="Aptos" w:hAnsi="Aptos"/>
                <w:b w:val="0"/>
                <w:i w:val="0"/>
                <w:color w:val="000000"/>
                <w:sz w:val="16"/>
              </w:rPr>
            </w:r>
          </w:p>
        </w:tc>
      </w:tr>
      <w:tr>
        <w:trPr>
          <w:cantSplit/>
        </w:trPr>
        <w:tc>
          <w:tcPr>
            <w:tcW w:type="dxa" w:w="3024"/>
            <w:vAlign w:val="center"/>
          </w:tcPr>
          <w:p>
            <w:pPr>
              <w:spacing w:after="0" w:line="240" w:lineRule="auto"/>
            </w:pPr>
            <w:r>
              <w:rPr>
                <w:rFonts w:ascii="Aptos" w:hAnsi="Aptos"/>
                <w:b w:val="0"/>
                <w:i w:val="0"/>
                <w:color w:val="000000"/>
                <w:sz w:val="16"/>
              </w:rPr>
              <w:t>Operations</w:t>
            </w:r>
          </w:p>
        </w:tc>
        <w:tc>
          <w:tcPr>
            <w:tcW w:type="dxa" w:w="3240"/>
            <w:vAlign w:val="center"/>
          </w:tcPr>
          <w:p>
            <w:pPr>
              <w:spacing w:after="0" w:line="240" w:lineRule="auto"/>
            </w:pPr>
            <w:r>
              <w:rPr>
                <w:rFonts w:ascii="Aptos" w:hAnsi="Aptos"/>
                <w:b w:val="0"/>
                <w:i w:val="0"/>
                <w:color w:val="000000"/>
                <w:sz w:val="16"/>
              </w:rPr>
              <w:t>Assignment checks confirmed</w:t>
            </w:r>
          </w:p>
        </w:tc>
        <w:tc>
          <w:tcPr>
            <w:tcW w:type="dxa" w:w="1800"/>
            <w:vAlign w:val="center"/>
          </w:tcPr>
          <w:p>
            <w:pPr>
              <w:spacing w:after="0" w:line="240" w:lineRule="auto"/>
            </w:pPr>
            <w:r>
              <w:rPr>
                <w:rFonts w:ascii="Aptos" w:hAnsi="Aptos"/>
                <w:b w:val="0"/>
                <w:i w:val="0"/>
                <w:color w:val="000000"/>
                <w:sz w:val="16"/>
              </w:rPr>
            </w:r>
          </w:p>
        </w:tc>
        <w:tc>
          <w:tcPr>
            <w:tcW w:type="dxa" w:w="1655"/>
            <w:vAlign w:val="center"/>
          </w:tcPr>
          <w:p>
            <w:pPr>
              <w:spacing w:after="0" w:line="240" w:lineRule="auto"/>
            </w:pPr>
            <w:r>
              <w:rPr>
                <w:rFonts w:ascii="Aptos" w:hAnsi="Aptos"/>
                <w:b w:val="0"/>
                <w:i w:val="0"/>
                <w:color w:val="000000"/>
                <w:sz w:val="16"/>
              </w:rPr>
            </w:r>
          </w:p>
        </w:tc>
      </w:tr>
    </w:tbl>
    <w:p>
      <w:pPr>
        <w:pStyle w:val="Heading1"/>
      </w:pPr>
      <w:r>
        <w:t>2. Purpose and scope</w:t>
      </w:r>
    </w:p>
    <w:p>
      <w:r>
        <w:t>This Procedure explains how EDrill administers the Family Bursary each year, from planning and applications through assessment, payment and annual close-out.</w:t>
      </w:r>
    </w:p>
    <w:p>
      <w:r>
        <w:t>It applies to eligible EDrill employees and eligible labour-hire employees assigned to EDrill rigs in Thailand. Expansion to another country or participant group requires formal approval and amendment of the governing documents before implementation.</w:t>
      </w:r>
    </w:p>
    <w:p>
      <w:r>
        <w:t>Each Award Year is a 12-month period stated in the approved Annual Planning Note. A business day is a normal EDPL Bangkok working day, excluding weekends and applicable Bangkok public holidays. A deadline falling on a non-business day moves to the next business day unless the published notice states otherwise.</w:t>
      </w:r>
    </w:p>
    <w:p>
      <w:pPr>
        <w:pStyle w:val="Heading1"/>
      </w:pPr>
      <w:r>
        <w:t>3. Governing documents</w:t>
      </w:r>
    </w:p>
    <w:p>
      <w:r>
        <w:t>Applicable law must always be followed. Use this Procedure with the Bursary Charter, Eligibility and Selection Rules, Payment and Evidence Rules, Committee Terms of Reference and approved forms. If the documents conflict, apply them in that order and resolve the conflict before continuing the affected application.</w:t>
      </w:r>
    </w:p>
    <w:p>
      <w:pPr>
        <w:pStyle w:val="Heading1"/>
      </w:pPr>
      <w:r>
        <w:t>4. Responsibilities</w:t>
      </w:r>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51"/>
        <w:gridCol w:w="6768"/>
      </w:tblGrid>
      <w:tr>
        <w:trPr>
          <w:tblHeader w:val="true"/>
          <w:cantSplit/>
        </w:trPr>
        <w:tc>
          <w:tcPr>
            <w:tcW w:type="dxa" w:w="2952"/>
            <w:tcMar>
              <w:top w:w="90" w:type="dxa"/>
              <w:start w:w="110" w:type="dxa"/>
              <w:bottom w:w="90" w:type="dxa"/>
              <w:end w:w="110" w:type="dxa"/>
            </w:tcMar>
            <w:shd w:fill="DCE6F1"/>
            <w:vAlign w:val="center"/>
          </w:tcPr>
          <w:p>
            <w:pPr>
              <w:spacing w:after="0"/>
            </w:pPr>
            <w:r>
              <w:rPr>
                <w:rFonts w:ascii="Aptos" w:hAnsi="Aptos"/>
                <w:b/>
                <w:i w:val="0"/>
                <w:color w:val="17365D"/>
                <w:sz w:val="16"/>
              </w:rPr>
              <w:t>Role</w:t>
            </w:r>
          </w:p>
        </w:tc>
        <w:tc>
          <w:tcPr>
            <w:tcW w:type="dxa" w:w="6768"/>
            <w:tcMar>
              <w:top w:w="90" w:type="dxa"/>
              <w:start w:w="110" w:type="dxa"/>
              <w:bottom w:w="90" w:type="dxa"/>
              <w:end w:w="110" w:type="dxa"/>
            </w:tcMar>
            <w:shd w:fill="DCE6F1"/>
            <w:vAlign w:val="center"/>
          </w:tcPr>
          <w:p>
            <w:pPr>
              <w:spacing w:after="0"/>
            </w:pPr>
            <w:r>
              <w:rPr>
                <w:rFonts w:ascii="Aptos" w:hAnsi="Aptos"/>
                <w:b/>
                <w:i w:val="0"/>
                <w:color w:val="17365D"/>
                <w:sz w:val="16"/>
              </w:rPr>
              <w:t>Responsibility</w:t>
            </w:r>
          </w:p>
        </w:tc>
      </w:tr>
      <w:tr>
        <w:trPr>
          <w:cantSplit/>
        </w:trPr>
        <w:tc>
          <w:tcPr>
            <w:tcW w:type="dxa" w:w="2951"/>
            <w:vAlign w:val="center"/>
          </w:tcPr>
          <w:p>
            <w:pPr>
              <w:spacing w:after="0" w:line="240" w:lineRule="auto"/>
            </w:pPr>
            <w:r>
              <w:rPr>
                <w:rFonts w:ascii="Aptos" w:hAnsi="Aptos"/>
                <w:b w:val="0"/>
                <w:i w:val="0"/>
                <w:color w:val="000000"/>
                <w:sz w:val="16"/>
              </w:rPr>
              <w:t>Executive Sponsor</w:t>
            </w:r>
          </w:p>
        </w:tc>
        <w:tc>
          <w:tcPr>
            <w:tcW w:type="dxa" w:w="6768"/>
            <w:vAlign w:val="center"/>
          </w:tcPr>
          <w:p>
            <w:pPr>
              <w:spacing w:after="0" w:line="240" w:lineRule="auto"/>
            </w:pPr>
            <w:r>
              <w:rPr>
                <w:rFonts w:ascii="Aptos" w:hAnsi="Aptos"/>
                <w:b w:val="0"/>
                <w:i w:val="0"/>
                <w:color w:val="000000"/>
                <w:sz w:val="16"/>
              </w:rPr>
              <w:t>Approves the Annual Planning Note, budget, final award list and any exception requiring Sponsor approval.</w:t>
            </w:r>
          </w:p>
        </w:tc>
      </w:tr>
      <w:tr>
        <w:trPr>
          <w:cantSplit/>
        </w:trPr>
        <w:tc>
          <w:tcPr>
            <w:tcW w:type="dxa" w:w="2951"/>
            <w:shd w:fill="F8FAFC"/>
            <w:vAlign w:val="center"/>
          </w:tcPr>
          <w:p>
            <w:pPr>
              <w:spacing w:after="0" w:line="240" w:lineRule="auto"/>
            </w:pPr>
            <w:r>
              <w:rPr>
                <w:rFonts w:ascii="Aptos" w:hAnsi="Aptos"/>
                <w:b w:val="0"/>
                <w:i w:val="0"/>
                <w:color w:val="000000"/>
                <w:sz w:val="16"/>
              </w:rPr>
              <w:t>Committee Chairman</w:t>
            </w:r>
          </w:p>
        </w:tc>
        <w:tc>
          <w:tcPr>
            <w:tcW w:type="dxa" w:w="6768"/>
            <w:shd w:fill="F8FAFC"/>
            <w:vAlign w:val="center"/>
          </w:tcPr>
          <w:p>
            <w:pPr>
              <w:spacing w:after="0" w:line="240" w:lineRule="auto"/>
            </w:pPr>
            <w:r>
              <w:rPr>
                <w:rFonts w:ascii="Aptos" w:hAnsi="Aptos"/>
                <w:b w:val="0"/>
                <w:i w:val="0"/>
                <w:color w:val="000000"/>
                <w:sz w:val="16"/>
              </w:rPr>
              <w:t>Chairs meetings, confirms attendance and conflicts, and signs the Committee recommendation.</w:t>
            </w:r>
          </w:p>
        </w:tc>
      </w:tr>
      <w:tr>
        <w:trPr>
          <w:cantSplit/>
        </w:trPr>
        <w:tc>
          <w:tcPr>
            <w:tcW w:type="dxa" w:w="2951"/>
            <w:vAlign w:val="center"/>
          </w:tcPr>
          <w:p>
            <w:pPr>
              <w:spacing w:after="0" w:line="240" w:lineRule="auto"/>
            </w:pPr>
            <w:r>
              <w:rPr>
                <w:rFonts w:ascii="Aptos" w:hAnsi="Aptos"/>
                <w:b w:val="0"/>
                <w:i w:val="0"/>
                <w:color w:val="000000"/>
                <w:sz w:val="16"/>
              </w:rPr>
              <w:t>Administrator</w:t>
            </w:r>
          </w:p>
        </w:tc>
        <w:tc>
          <w:tcPr>
            <w:tcW w:type="dxa" w:w="6768"/>
            <w:vAlign w:val="center"/>
          </w:tcPr>
          <w:p>
            <w:pPr>
              <w:spacing w:after="0" w:line="240" w:lineRule="auto"/>
            </w:pPr>
            <w:r>
              <w:rPr>
                <w:rFonts w:ascii="Aptos" w:hAnsi="Aptos"/>
                <w:b w:val="0"/>
                <w:i w:val="0"/>
                <w:color w:val="000000"/>
                <w:sz w:val="16"/>
              </w:rPr>
              <w:t>Manages dates, forms, applications, records, review packs, meeting records, notices, appeals and the annual report.</w:t>
            </w:r>
          </w:p>
        </w:tc>
      </w:tr>
      <w:tr>
        <w:trPr>
          <w:cantSplit/>
        </w:trPr>
        <w:tc>
          <w:tcPr>
            <w:tcW w:type="dxa" w:w="2951"/>
            <w:shd w:fill="F8FAFC"/>
            <w:vAlign w:val="center"/>
          </w:tcPr>
          <w:p>
            <w:pPr>
              <w:spacing w:after="0" w:line="240" w:lineRule="auto"/>
            </w:pPr>
            <w:r>
              <w:rPr>
                <w:rFonts w:ascii="Aptos" w:hAnsi="Aptos"/>
                <w:b w:val="0"/>
                <w:i w:val="0"/>
                <w:color w:val="000000"/>
                <w:sz w:val="16"/>
              </w:rPr>
              <w:t>HR</w:t>
            </w:r>
          </w:p>
        </w:tc>
        <w:tc>
          <w:tcPr>
            <w:tcW w:type="dxa" w:w="6768"/>
            <w:shd w:fill="F8FAFC"/>
            <w:vAlign w:val="center"/>
          </w:tcPr>
          <w:p>
            <w:pPr>
              <w:spacing w:after="0" w:line="240" w:lineRule="auto"/>
            </w:pPr>
            <w:r>
              <w:rPr>
                <w:rFonts w:ascii="Aptos" w:hAnsi="Aptos"/>
                <w:b w:val="0"/>
                <w:i w:val="0"/>
                <w:color w:val="000000"/>
                <w:sz w:val="16"/>
              </w:rPr>
              <w:t>Checks employment, service, relationship or dependency and required declarations; protects personnel information.</w:t>
            </w:r>
          </w:p>
        </w:tc>
      </w:tr>
      <w:tr>
        <w:trPr>
          <w:cantSplit/>
        </w:trPr>
        <w:tc>
          <w:tcPr>
            <w:tcW w:type="dxa" w:w="2951"/>
            <w:vAlign w:val="center"/>
          </w:tcPr>
          <w:p>
            <w:pPr>
              <w:spacing w:after="0" w:line="240" w:lineRule="auto"/>
            </w:pPr>
            <w:r>
              <w:rPr>
                <w:rFonts w:ascii="Aptos" w:hAnsi="Aptos"/>
                <w:b w:val="0"/>
                <w:i w:val="0"/>
                <w:color w:val="000000"/>
                <w:sz w:val="16"/>
              </w:rPr>
              <w:t>Finance / Payroll</w:t>
            </w:r>
          </w:p>
        </w:tc>
        <w:tc>
          <w:tcPr>
            <w:tcW w:type="dxa" w:w="6768"/>
            <w:vAlign w:val="center"/>
          </w:tcPr>
          <w:p>
            <w:pPr>
              <w:spacing w:after="0" w:line="240" w:lineRule="auto"/>
            </w:pPr>
            <w:r>
              <w:rPr>
                <w:rFonts w:ascii="Aptos" w:hAnsi="Aptos"/>
                <w:b w:val="0"/>
                <w:i w:val="0"/>
                <w:color w:val="000000"/>
                <w:sz w:val="16"/>
              </w:rPr>
              <w:t>Checks salary eligibility and budget; confirms tax, payroll or agency payment; processes payments and any recovery.</w:t>
            </w:r>
          </w:p>
        </w:tc>
      </w:tr>
      <w:tr>
        <w:trPr>
          <w:cantSplit/>
        </w:trPr>
        <w:tc>
          <w:tcPr>
            <w:tcW w:type="dxa" w:w="2951"/>
            <w:shd w:fill="F8FAFC"/>
            <w:vAlign w:val="center"/>
          </w:tcPr>
          <w:p>
            <w:pPr>
              <w:spacing w:after="0" w:line="240" w:lineRule="auto"/>
            </w:pPr>
            <w:r>
              <w:rPr>
                <w:rFonts w:ascii="Aptos" w:hAnsi="Aptos"/>
                <w:b w:val="0"/>
                <w:i w:val="0"/>
                <w:color w:val="000000"/>
                <w:sz w:val="16"/>
              </w:rPr>
              <w:t>Operations</w:t>
            </w:r>
          </w:p>
        </w:tc>
        <w:tc>
          <w:tcPr>
            <w:tcW w:type="dxa" w:w="6768"/>
            <w:shd w:fill="F8FAFC"/>
            <w:vAlign w:val="center"/>
          </w:tcPr>
          <w:p>
            <w:pPr>
              <w:spacing w:after="0" w:line="240" w:lineRule="auto"/>
            </w:pPr>
            <w:r>
              <w:rPr>
                <w:rFonts w:ascii="Aptos" w:hAnsi="Aptos"/>
                <w:b w:val="0"/>
                <w:i w:val="0"/>
                <w:color w:val="000000"/>
                <w:sz w:val="16"/>
              </w:rPr>
              <w:t>Confirms rig assignment and labour-hire continuity in Thailand.</w:t>
            </w:r>
          </w:p>
        </w:tc>
      </w:tr>
      <w:tr>
        <w:trPr>
          <w:cantSplit/>
        </w:trPr>
        <w:tc>
          <w:tcPr>
            <w:tcW w:type="dxa" w:w="2951"/>
            <w:vAlign w:val="center"/>
          </w:tcPr>
          <w:p>
            <w:pPr>
              <w:spacing w:after="0" w:line="240" w:lineRule="auto"/>
            </w:pPr>
            <w:r>
              <w:rPr>
                <w:rFonts w:ascii="Aptos" w:hAnsi="Aptos"/>
                <w:b w:val="0"/>
                <w:i w:val="0"/>
                <w:color w:val="000000"/>
                <w:sz w:val="16"/>
              </w:rPr>
              <w:t>Reviewers / Committee</w:t>
            </w:r>
          </w:p>
        </w:tc>
        <w:tc>
          <w:tcPr>
            <w:tcW w:type="dxa" w:w="6768"/>
            <w:vAlign w:val="center"/>
          </w:tcPr>
          <w:p>
            <w:pPr>
              <w:spacing w:after="0" w:line="240" w:lineRule="auto"/>
            </w:pPr>
            <w:r>
              <w:rPr>
                <w:rFonts w:ascii="Aptos" w:hAnsi="Aptos"/>
                <w:b w:val="0"/>
                <w:i w:val="0"/>
                <w:color w:val="000000"/>
                <w:sz w:val="16"/>
              </w:rPr>
              <w:t>Declare conflicts, assess assigned applications using the approved scoring rules and keep information confidential.</w:t>
            </w:r>
          </w:p>
        </w:tc>
      </w:tr>
      <w:tr>
        <w:trPr>
          <w:cantSplit/>
        </w:trPr>
        <w:tc>
          <w:tcPr>
            <w:tcW w:type="dxa" w:w="2951"/>
            <w:shd w:fill="F8FAFC"/>
            <w:vAlign w:val="center"/>
          </w:tcPr>
          <w:p>
            <w:pPr>
              <w:spacing w:after="0" w:line="240" w:lineRule="auto"/>
            </w:pPr>
            <w:r>
              <w:rPr>
                <w:rFonts w:ascii="Aptos" w:hAnsi="Aptos"/>
                <w:b w:val="0"/>
                <w:i w:val="0"/>
                <w:color w:val="000000"/>
                <w:sz w:val="16"/>
              </w:rPr>
              <w:t>Labour-hire agency</w:t>
            </w:r>
          </w:p>
        </w:tc>
        <w:tc>
          <w:tcPr>
            <w:tcW w:type="dxa" w:w="6768"/>
            <w:shd w:fill="F8FAFC"/>
            <w:vAlign w:val="center"/>
          </w:tcPr>
          <w:p>
            <w:pPr>
              <w:spacing w:after="0" w:line="240" w:lineRule="auto"/>
            </w:pPr>
            <w:r>
              <w:rPr>
                <w:rFonts w:ascii="Aptos" w:hAnsi="Aptos"/>
                <w:b w:val="0"/>
                <w:i w:val="0"/>
                <w:color w:val="000000"/>
                <w:sz w:val="16"/>
              </w:rPr>
              <w:t>Checks employment and identity, complies with the agency agreement, pays its employee and confirms payment.</w:t>
            </w:r>
          </w:p>
        </w:tc>
      </w:tr>
    </w:tbl>
    <w:p>
      <w:r>
        <w:t>One person must not receive an application, approve its final score and release its payment. Finance must check every payment, but cannot decide awards alone.</w:t>
      </w:r>
    </w:p>
    <w:p>
      <w:pPr>
        <w:pStyle w:val="Heading1"/>
      </w:pPr>
      <w:r>
        <w:t>5. Annual timetable</w:t>
      </w:r>
    </w:p>
    <w:p>
      <w:r>
        <w:t>The Annual Planning Note sets the actual dates. Unless it states otherwise, use these deadlines:</w:t>
      </w:r>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83"/>
        <w:gridCol w:w="4104"/>
        <w:gridCol w:w="2332"/>
      </w:tblGrid>
      <w:tr>
        <w:trPr>
          <w:tblHeader w:val="true"/>
          <w:cantSplit/>
        </w:trPr>
        <w:tc>
          <w:tcPr>
            <w:tcW w:type="dxa" w:w="3283"/>
            <w:tcMar>
              <w:top w:w="90" w:type="dxa"/>
              <w:start w:w="110" w:type="dxa"/>
              <w:bottom w:w="90" w:type="dxa"/>
              <w:end w:w="110" w:type="dxa"/>
            </w:tcMar>
            <w:shd w:fill="DCE6F1"/>
            <w:vAlign w:val="center"/>
          </w:tcPr>
          <w:p>
            <w:pPr>
              <w:spacing w:after="0"/>
            </w:pPr>
            <w:r>
              <w:rPr>
                <w:rFonts w:ascii="Aptos" w:hAnsi="Aptos"/>
                <w:b/>
                <w:i w:val="0"/>
                <w:color w:val="17365D"/>
                <w:sz w:val="16"/>
              </w:rPr>
              <w:t>Action</w:t>
            </w:r>
          </w:p>
        </w:tc>
        <w:tc>
          <w:tcPr>
            <w:tcW w:type="dxa" w:w="4104"/>
            <w:tcMar>
              <w:top w:w="90" w:type="dxa"/>
              <w:start w:w="110" w:type="dxa"/>
              <w:bottom w:w="90" w:type="dxa"/>
              <w:end w:w="110" w:type="dxa"/>
            </w:tcMar>
            <w:shd w:fill="DCE6F1"/>
            <w:vAlign w:val="center"/>
          </w:tcPr>
          <w:p>
            <w:pPr>
              <w:spacing w:after="0"/>
            </w:pPr>
            <w:r>
              <w:rPr>
                <w:rFonts w:ascii="Aptos" w:hAnsi="Aptos"/>
                <w:b/>
                <w:i w:val="0"/>
                <w:color w:val="17365D"/>
                <w:sz w:val="16"/>
              </w:rPr>
              <w:t>Deadline</w:t>
            </w:r>
          </w:p>
        </w:tc>
        <w:tc>
          <w:tcPr>
            <w:tcW w:type="dxa" w:w="2333"/>
            <w:tcMar>
              <w:top w:w="90" w:type="dxa"/>
              <w:start w:w="110" w:type="dxa"/>
              <w:bottom w:w="90" w:type="dxa"/>
              <w:end w:w="110" w:type="dxa"/>
            </w:tcMar>
            <w:shd w:fill="DCE6F1"/>
            <w:vAlign w:val="center"/>
          </w:tcPr>
          <w:p>
            <w:pPr>
              <w:spacing w:after="0"/>
            </w:pPr>
            <w:r>
              <w:rPr>
                <w:rFonts w:ascii="Aptos" w:hAnsi="Aptos"/>
                <w:b/>
                <w:i w:val="0"/>
                <w:color w:val="17365D"/>
                <w:sz w:val="16"/>
              </w:rPr>
              <w:t>Responsible</w:t>
            </w:r>
          </w:p>
        </w:tc>
      </w:tr>
      <w:tr>
        <w:trPr>
          <w:cantSplit/>
        </w:trPr>
        <w:tc>
          <w:tcPr>
            <w:tcW w:type="dxa" w:w="3283"/>
            <w:vAlign w:val="center"/>
          </w:tcPr>
          <w:p>
            <w:pPr>
              <w:spacing w:after="0" w:line="240" w:lineRule="auto"/>
            </w:pPr>
            <w:r>
              <w:rPr>
                <w:rFonts w:ascii="Aptos" w:hAnsi="Aptos"/>
                <w:b w:val="0"/>
                <w:i w:val="0"/>
                <w:color w:val="000000"/>
                <w:sz w:val="16"/>
              </w:rPr>
              <w:t>Approve Annual Planning Note</w:t>
            </w:r>
          </w:p>
        </w:tc>
        <w:tc>
          <w:tcPr>
            <w:tcW w:type="dxa" w:w="4104"/>
            <w:vAlign w:val="center"/>
          </w:tcPr>
          <w:p>
            <w:pPr>
              <w:spacing w:after="0" w:line="240" w:lineRule="auto"/>
            </w:pPr>
            <w:r>
              <w:rPr>
                <w:rFonts w:ascii="Aptos" w:hAnsi="Aptos"/>
                <w:b w:val="0"/>
                <w:i w:val="0"/>
                <w:color w:val="000000"/>
                <w:sz w:val="16"/>
              </w:rPr>
              <w:t>Before applications open</w:t>
            </w:r>
          </w:p>
        </w:tc>
        <w:tc>
          <w:tcPr>
            <w:tcW w:type="dxa" w:w="2332"/>
            <w:vAlign w:val="center"/>
          </w:tcPr>
          <w:p>
            <w:pPr>
              <w:spacing w:after="0" w:line="240" w:lineRule="auto"/>
            </w:pPr>
            <w:r>
              <w:rPr>
                <w:rFonts w:ascii="Aptos" w:hAnsi="Aptos"/>
                <w:b w:val="0"/>
                <w:i w:val="0"/>
                <w:color w:val="000000"/>
                <w:sz w:val="16"/>
              </w:rPr>
              <w:t>Administrator / Sponsor</w:t>
            </w:r>
          </w:p>
        </w:tc>
      </w:tr>
      <w:tr>
        <w:trPr>
          <w:cantSplit/>
        </w:trPr>
        <w:tc>
          <w:tcPr>
            <w:tcW w:type="dxa" w:w="3283"/>
            <w:shd w:fill="F8FAFC"/>
            <w:vAlign w:val="center"/>
          </w:tcPr>
          <w:p>
            <w:pPr>
              <w:spacing w:after="0" w:line="240" w:lineRule="auto"/>
            </w:pPr>
            <w:r>
              <w:rPr>
                <w:rFonts w:ascii="Aptos" w:hAnsi="Aptos"/>
                <w:b w:val="0"/>
                <w:i w:val="0"/>
                <w:color w:val="000000"/>
                <w:sz w:val="16"/>
              </w:rPr>
              <w:t>Keep applications open</w:t>
            </w:r>
          </w:p>
        </w:tc>
        <w:tc>
          <w:tcPr>
            <w:tcW w:type="dxa" w:w="4104"/>
            <w:shd w:fill="F8FAFC"/>
            <w:vAlign w:val="center"/>
          </w:tcPr>
          <w:p>
            <w:pPr>
              <w:spacing w:after="0" w:line="240" w:lineRule="auto"/>
            </w:pPr>
            <w:r>
              <w:rPr>
                <w:rFonts w:ascii="Aptos" w:hAnsi="Aptos"/>
                <w:b w:val="0"/>
                <w:i w:val="0"/>
                <w:color w:val="000000"/>
                <w:sz w:val="16"/>
              </w:rPr>
              <w:t>At least 30 calendar days</w:t>
            </w:r>
          </w:p>
        </w:tc>
        <w:tc>
          <w:tcPr>
            <w:tcW w:type="dxa" w:w="2332"/>
            <w:shd w:fill="F8FAFC"/>
            <w:vAlign w:val="center"/>
          </w:tcPr>
          <w:p>
            <w:pPr>
              <w:spacing w:after="0" w:line="240" w:lineRule="auto"/>
            </w:pPr>
            <w:r>
              <w:rPr>
                <w:rFonts w:ascii="Aptos" w:hAnsi="Aptos"/>
                <w:b w:val="0"/>
                <w:i w:val="0"/>
                <w:color w:val="000000"/>
                <w:sz w:val="16"/>
              </w:rPr>
              <w:t>Administrator</w:t>
            </w:r>
          </w:p>
        </w:tc>
      </w:tr>
      <w:tr>
        <w:trPr>
          <w:cantSplit/>
        </w:trPr>
        <w:tc>
          <w:tcPr>
            <w:tcW w:type="dxa" w:w="3283"/>
            <w:vAlign w:val="center"/>
          </w:tcPr>
          <w:p>
            <w:pPr>
              <w:spacing w:after="0" w:line="240" w:lineRule="auto"/>
            </w:pPr>
            <w:r>
              <w:rPr>
                <w:rFonts w:ascii="Aptos" w:hAnsi="Aptos"/>
                <w:b w:val="0"/>
                <w:i w:val="0"/>
                <w:color w:val="000000"/>
                <w:sz w:val="16"/>
              </w:rPr>
              <w:t>Acknowledge an application</w:t>
            </w:r>
          </w:p>
        </w:tc>
        <w:tc>
          <w:tcPr>
            <w:tcW w:type="dxa" w:w="4104"/>
            <w:vAlign w:val="center"/>
          </w:tcPr>
          <w:p>
            <w:pPr>
              <w:spacing w:after="0" w:line="240" w:lineRule="auto"/>
            </w:pPr>
            <w:r>
              <w:rPr>
                <w:rFonts w:ascii="Aptos" w:hAnsi="Aptos"/>
                <w:b w:val="0"/>
                <w:i w:val="0"/>
                <w:color w:val="000000"/>
                <w:sz w:val="16"/>
              </w:rPr>
              <w:t>Within 2 business days</w:t>
            </w:r>
          </w:p>
        </w:tc>
        <w:tc>
          <w:tcPr>
            <w:tcW w:type="dxa" w:w="2332"/>
            <w:vAlign w:val="center"/>
          </w:tcPr>
          <w:p>
            <w:pPr>
              <w:spacing w:after="0" w:line="240" w:lineRule="auto"/>
            </w:pPr>
            <w:r>
              <w:rPr>
                <w:rFonts w:ascii="Aptos" w:hAnsi="Aptos"/>
                <w:b w:val="0"/>
                <w:i w:val="0"/>
                <w:color w:val="000000"/>
                <w:sz w:val="16"/>
              </w:rPr>
              <w:t>Administrator</w:t>
            </w:r>
          </w:p>
        </w:tc>
      </w:tr>
      <w:tr>
        <w:trPr>
          <w:cantSplit/>
        </w:trPr>
        <w:tc>
          <w:tcPr>
            <w:tcW w:type="dxa" w:w="3283"/>
            <w:shd w:fill="F8FAFC"/>
            <w:vAlign w:val="center"/>
          </w:tcPr>
          <w:p>
            <w:pPr>
              <w:spacing w:after="0" w:line="240" w:lineRule="auto"/>
            </w:pPr>
            <w:r>
              <w:rPr>
                <w:rFonts w:ascii="Aptos" w:hAnsi="Aptos"/>
                <w:b w:val="0"/>
                <w:i w:val="0"/>
                <w:color w:val="000000"/>
                <w:sz w:val="16"/>
              </w:rPr>
              <w:t>Provide missing information</w:t>
            </w:r>
          </w:p>
        </w:tc>
        <w:tc>
          <w:tcPr>
            <w:tcW w:type="dxa" w:w="4104"/>
            <w:shd w:fill="F8FAFC"/>
            <w:vAlign w:val="center"/>
          </w:tcPr>
          <w:p>
            <w:pPr>
              <w:spacing w:after="0" w:line="240" w:lineRule="auto"/>
            </w:pPr>
            <w:r>
              <w:rPr>
                <w:rFonts w:ascii="Aptos" w:hAnsi="Aptos"/>
                <w:b w:val="0"/>
                <w:i w:val="0"/>
                <w:color w:val="000000"/>
                <w:sz w:val="16"/>
              </w:rPr>
              <w:t>Within 5 business days of request</w:t>
            </w:r>
          </w:p>
        </w:tc>
        <w:tc>
          <w:tcPr>
            <w:tcW w:type="dxa" w:w="2332"/>
            <w:shd w:fill="F8FAFC"/>
            <w:vAlign w:val="center"/>
          </w:tcPr>
          <w:p>
            <w:pPr>
              <w:spacing w:after="0" w:line="240" w:lineRule="auto"/>
            </w:pPr>
            <w:r>
              <w:rPr>
                <w:rFonts w:ascii="Aptos" w:hAnsi="Aptos"/>
                <w:b w:val="0"/>
                <w:i w:val="0"/>
                <w:color w:val="000000"/>
                <w:sz w:val="16"/>
              </w:rPr>
              <w:t>Applicant</w:t>
            </w:r>
          </w:p>
        </w:tc>
      </w:tr>
      <w:tr>
        <w:trPr>
          <w:cantSplit/>
        </w:trPr>
        <w:tc>
          <w:tcPr>
            <w:tcW w:type="dxa" w:w="3283"/>
            <w:vAlign w:val="center"/>
          </w:tcPr>
          <w:p>
            <w:pPr>
              <w:spacing w:after="0" w:line="240" w:lineRule="auto"/>
            </w:pPr>
            <w:r>
              <w:rPr>
                <w:rFonts w:ascii="Aptos" w:hAnsi="Aptos"/>
                <w:b w:val="0"/>
                <w:i w:val="0"/>
                <w:color w:val="000000"/>
                <w:sz w:val="16"/>
              </w:rPr>
              <w:t>Complete eligibility checks</w:t>
            </w:r>
          </w:p>
        </w:tc>
        <w:tc>
          <w:tcPr>
            <w:tcW w:type="dxa" w:w="4104"/>
            <w:vAlign w:val="center"/>
          </w:tcPr>
          <w:p>
            <w:pPr>
              <w:spacing w:after="0" w:line="240" w:lineRule="auto"/>
            </w:pPr>
            <w:r>
              <w:rPr>
                <w:rFonts w:ascii="Aptos" w:hAnsi="Aptos"/>
                <w:b w:val="0"/>
                <w:i w:val="0"/>
                <w:color w:val="000000"/>
                <w:sz w:val="16"/>
              </w:rPr>
              <w:t>Within 10 business days after applications close or missing information is due</w:t>
            </w:r>
          </w:p>
        </w:tc>
        <w:tc>
          <w:tcPr>
            <w:tcW w:type="dxa" w:w="2332"/>
            <w:vAlign w:val="center"/>
          </w:tcPr>
          <w:p>
            <w:pPr>
              <w:spacing w:after="0" w:line="240" w:lineRule="auto"/>
            </w:pPr>
            <w:r>
              <w:rPr>
                <w:rFonts w:ascii="Aptos" w:hAnsi="Aptos"/>
                <w:b w:val="0"/>
                <w:i w:val="0"/>
                <w:color w:val="000000"/>
                <w:sz w:val="16"/>
              </w:rPr>
              <w:t>HR / Finance / Operations</w:t>
            </w:r>
          </w:p>
        </w:tc>
      </w:tr>
      <w:tr>
        <w:trPr>
          <w:cantSplit/>
        </w:trPr>
        <w:tc>
          <w:tcPr>
            <w:tcW w:type="dxa" w:w="3283"/>
            <w:shd w:fill="F8FAFC"/>
            <w:vAlign w:val="center"/>
          </w:tcPr>
          <w:p>
            <w:pPr>
              <w:spacing w:after="0" w:line="240" w:lineRule="auto"/>
            </w:pPr>
            <w:r>
              <w:rPr>
                <w:rFonts w:ascii="Aptos" w:hAnsi="Aptos"/>
                <w:b w:val="0"/>
                <w:i w:val="0"/>
                <w:color w:val="000000"/>
                <w:sz w:val="16"/>
              </w:rPr>
              <w:t>Complete scoring</w:t>
            </w:r>
          </w:p>
        </w:tc>
        <w:tc>
          <w:tcPr>
            <w:tcW w:type="dxa" w:w="4104"/>
            <w:shd w:fill="F8FAFC"/>
            <w:vAlign w:val="center"/>
          </w:tcPr>
          <w:p>
            <w:pPr>
              <w:spacing w:after="0" w:line="240" w:lineRule="auto"/>
            </w:pPr>
            <w:r>
              <w:rPr>
                <w:rFonts w:ascii="Aptos" w:hAnsi="Aptos"/>
                <w:b w:val="0"/>
                <w:i w:val="0"/>
                <w:color w:val="000000"/>
                <w:sz w:val="16"/>
              </w:rPr>
              <w:t>Within 10 business days after eligibility checks</w:t>
            </w:r>
          </w:p>
        </w:tc>
        <w:tc>
          <w:tcPr>
            <w:tcW w:type="dxa" w:w="2332"/>
            <w:shd w:fill="F8FAFC"/>
            <w:vAlign w:val="center"/>
          </w:tcPr>
          <w:p>
            <w:pPr>
              <w:spacing w:after="0" w:line="240" w:lineRule="auto"/>
            </w:pPr>
            <w:r>
              <w:rPr>
                <w:rFonts w:ascii="Aptos" w:hAnsi="Aptos"/>
                <w:b w:val="0"/>
                <w:i w:val="0"/>
                <w:color w:val="000000"/>
                <w:sz w:val="16"/>
              </w:rPr>
              <w:t>Reviewers</w:t>
            </w:r>
          </w:p>
        </w:tc>
      </w:tr>
      <w:tr>
        <w:trPr>
          <w:cantSplit/>
        </w:trPr>
        <w:tc>
          <w:tcPr>
            <w:tcW w:type="dxa" w:w="3283"/>
            <w:vAlign w:val="center"/>
          </w:tcPr>
          <w:p>
            <w:pPr>
              <w:spacing w:after="0" w:line="240" w:lineRule="auto"/>
            </w:pPr>
            <w:r>
              <w:rPr>
                <w:rFonts w:ascii="Aptos" w:hAnsi="Aptos"/>
                <w:b w:val="0"/>
                <w:i w:val="0"/>
                <w:color w:val="000000"/>
                <w:sz w:val="16"/>
              </w:rPr>
              <w:t>Committee recommendation</w:t>
            </w:r>
          </w:p>
        </w:tc>
        <w:tc>
          <w:tcPr>
            <w:tcW w:type="dxa" w:w="4104"/>
            <w:vAlign w:val="center"/>
          </w:tcPr>
          <w:p>
            <w:pPr>
              <w:spacing w:after="0" w:line="240" w:lineRule="auto"/>
            </w:pPr>
            <w:r>
              <w:rPr>
                <w:rFonts w:ascii="Aptos" w:hAnsi="Aptos"/>
                <w:b w:val="0"/>
                <w:i w:val="0"/>
                <w:color w:val="000000"/>
                <w:sz w:val="16"/>
              </w:rPr>
              <w:t>Within 5 business days after scoring</w:t>
            </w:r>
          </w:p>
        </w:tc>
        <w:tc>
          <w:tcPr>
            <w:tcW w:type="dxa" w:w="2332"/>
            <w:vAlign w:val="center"/>
          </w:tcPr>
          <w:p>
            <w:pPr>
              <w:spacing w:after="0" w:line="240" w:lineRule="auto"/>
            </w:pPr>
            <w:r>
              <w:rPr>
                <w:rFonts w:ascii="Aptos" w:hAnsi="Aptos"/>
                <w:b w:val="0"/>
                <w:i w:val="0"/>
                <w:color w:val="000000"/>
                <w:sz w:val="16"/>
              </w:rPr>
              <w:t>Committee</w:t>
            </w:r>
          </w:p>
        </w:tc>
      </w:tr>
      <w:tr>
        <w:trPr>
          <w:cantSplit/>
        </w:trPr>
        <w:tc>
          <w:tcPr>
            <w:tcW w:type="dxa" w:w="3283"/>
            <w:shd w:fill="F8FAFC"/>
            <w:vAlign w:val="center"/>
          </w:tcPr>
          <w:p>
            <w:pPr>
              <w:spacing w:after="0" w:line="240" w:lineRule="auto"/>
            </w:pPr>
            <w:r>
              <w:rPr>
                <w:rFonts w:ascii="Aptos" w:hAnsi="Aptos"/>
                <w:b w:val="0"/>
                <w:i w:val="0"/>
                <w:color w:val="000000"/>
                <w:sz w:val="16"/>
              </w:rPr>
              <w:t>Final approval</w:t>
            </w:r>
          </w:p>
        </w:tc>
        <w:tc>
          <w:tcPr>
            <w:tcW w:type="dxa" w:w="4104"/>
            <w:shd w:fill="F8FAFC"/>
            <w:vAlign w:val="center"/>
          </w:tcPr>
          <w:p>
            <w:pPr>
              <w:spacing w:after="0" w:line="240" w:lineRule="auto"/>
            </w:pPr>
            <w:r>
              <w:rPr>
                <w:rFonts w:ascii="Aptos" w:hAnsi="Aptos"/>
                <w:b w:val="0"/>
                <w:i w:val="0"/>
                <w:color w:val="000000"/>
                <w:sz w:val="16"/>
              </w:rPr>
              <w:t>Within 3 business days after recommendation</w:t>
            </w:r>
          </w:p>
        </w:tc>
        <w:tc>
          <w:tcPr>
            <w:tcW w:type="dxa" w:w="2332"/>
            <w:shd w:fill="F8FAFC"/>
            <w:vAlign w:val="center"/>
          </w:tcPr>
          <w:p>
            <w:pPr>
              <w:spacing w:after="0" w:line="240" w:lineRule="auto"/>
            </w:pPr>
            <w:r>
              <w:rPr>
                <w:rFonts w:ascii="Aptos" w:hAnsi="Aptos"/>
                <w:b w:val="0"/>
                <w:i w:val="0"/>
                <w:color w:val="000000"/>
                <w:sz w:val="16"/>
              </w:rPr>
              <w:t>Executive Sponsor</w:t>
            </w:r>
          </w:p>
        </w:tc>
      </w:tr>
      <w:tr>
        <w:trPr>
          <w:cantSplit/>
        </w:trPr>
        <w:tc>
          <w:tcPr>
            <w:tcW w:type="dxa" w:w="3283"/>
            <w:vAlign w:val="center"/>
          </w:tcPr>
          <w:p>
            <w:pPr>
              <w:spacing w:after="0" w:line="240" w:lineRule="auto"/>
            </w:pPr>
            <w:r>
              <w:rPr>
                <w:rFonts w:ascii="Aptos" w:hAnsi="Aptos"/>
                <w:b w:val="0"/>
                <w:i w:val="0"/>
                <w:color w:val="000000"/>
                <w:sz w:val="16"/>
              </w:rPr>
              <w:t>Notify applicants</w:t>
            </w:r>
          </w:p>
        </w:tc>
        <w:tc>
          <w:tcPr>
            <w:tcW w:type="dxa" w:w="4104"/>
            <w:vAlign w:val="center"/>
          </w:tcPr>
          <w:p>
            <w:pPr>
              <w:spacing w:after="0" w:line="240" w:lineRule="auto"/>
            </w:pPr>
            <w:r>
              <w:rPr>
                <w:rFonts w:ascii="Aptos" w:hAnsi="Aptos"/>
                <w:b w:val="0"/>
                <w:i w:val="0"/>
                <w:color w:val="000000"/>
                <w:sz w:val="16"/>
              </w:rPr>
              <w:t>Within 2 business days after approval</w:t>
            </w:r>
          </w:p>
        </w:tc>
        <w:tc>
          <w:tcPr>
            <w:tcW w:type="dxa" w:w="2332"/>
            <w:vAlign w:val="center"/>
          </w:tcPr>
          <w:p>
            <w:pPr>
              <w:spacing w:after="0" w:line="240" w:lineRule="auto"/>
            </w:pPr>
            <w:r>
              <w:rPr>
                <w:rFonts w:ascii="Aptos" w:hAnsi="Aptos"/>
                <w:b w:val="0"/>
                <w:i w:val="0"/>
                <w:color w:val="000000"/>
                <w:sz w:val="16"/>
              </w:rPr>
              <w:t>Administrator</w:t>
            </w:r>
          </w:p>
        </w:tc>
      </w:tr>
      <w:tr>
        <w:trPr>
          <w:cantSplit/>
        </w:trPr>
        <w:tc>
          <w:tcPr>
            <w:tcW w:type="dxa" w:w="3283"/>
            <w:shd w:fill="F8FAFC"/>
            <w:vAlign w:val="center"/>
          </w:tcPr>
          <w:p>
            <w:pPr>
              <w:spacing w:after="0" w:line="240" w:lineRule="auto"/>
            </w:pPr>
            <w:r>
              <w:rPr>
                <w:rFonts w:ascii="Aptos" w:hAnsi="Aptos"/>
                <w:b w:val="0"/>
                <w:i w:val="0"/>
                <w:color w:val="000000"/>
                <w:sz w:val="16"/>
              </w:rPr>
              <w:t>Submit an appeal</w:t>
            </w:r>
          </w:p>
        </w:tc>
        <w:tc>
          <w:tcPr>
            <w:tcW w:type="dxa" w:w="4104"/>
            <w:shd w:fill="F8FAFC"/>
            <w:vAlign w:val="center"/>
          </w:tcPr>
          <w:p>
            <w:pPr>
              <w:spacing w:after="0" w:line="240" w:lineRule="auto"/>
            </w:pPr>
            <w:r>
              <w:rPr>
                <w:rFonts w:ascii="Aptos" w:hAnsi="Aptos"/>
                <w:b w:val="0"/>
                <w:i w:val="0"/>
                <w:color w:val="000000"/>
                <w:sz w:val="16"/>
              </w:rPr>
              <w:t>Within 10 business days after notice</w:t>
            </w:r>
          </w:p>
        </w:tc>
        <w:tc>
          <w:tcPr>
            <w:tcW w:type="dxa" w:w="2332"/>
            <w:shd w:fill="F8FAFC"/>
            <w:vAlign w:val="center"/>
          </w:tcPr>
          <w:p>
            <w:pPr>
              <w:spacing w:after="0" w:line="240" w:lineRule="auto"/>
            </w:pPr>
            <w:r>
              <w:rPr>
                <w:rFonts w:ascii="Aptos" w:hAnsi="Aptos"/>
                <w:b w:val="0"/>
                <w:i w:val="0"/>
                <w:color w:val="000000"/>
                <w:sz w:val="16"/>
              </w:rPr>
              <w:t>Applicant</w:t>
            </w:r>
          </w:p>
        </w:tc>
      </w:tr>
      <w:tr>
        <w:trPr>
          <w:cantSplit/>
        </w:trPr>
        <w:tc>
          <w:tcPr>
            <w:tcW w:type="dxa" w:w="3283"/>
            <w:vAlign w:val="center"/>
          </w:tcPr>
          <w:p>
            <w:pPr>
              <w:spacing w:after="0" w:line="240" w:lineRule="auto"/>
            </w:pPr>
            <w:r>
              <w:rPr>
                <w:rFonts w:ascii="Aptos" w:hAnsi="Aptos"/>
                <w:b w:val="0"/>
                <w:i w:val="0"/>
                <w:color w:val="000000"/>
                <w:sz w:val="16"/>
              </w:rPr>
              <w:t>Decide an appeal</w:t>
            </w:r>
          </w:p>
        </w:tc>
        <w:tc>
          <w:tcPr>
            <w:tcW w:type="dxa" w:w="4104"/>
            <w:vAlign w:val="center"/>
          </w:tcPr>
          <w:p>
            <w:pPr>
              <w:spacing w:after="0" w:line="240" w:lineRule="auto"/>
            </w:pPr>
            <w:r>
              <w:rPr>
                <w:rFonts w:ascii="Aptos" w:hAnsi="Aptos"/>
                <w:b w:val="0"/>
                <w:i w:val="0"/>
                <w:color w:val="000000"/>
                <w:sz w:val="16"/>
              </w:rPr>
              <w:t>Within 10 business days after a complete appeal</w:t>
            </w:r>
          </w:p>
        </w:tc>
        <w:tc>
          <w:tcPr>
            <w:tcW w:type="dxa" w:w="2332"/>
            <w:vAlign w:val="center"/>
          </w:tcPr>
          <w:p>
            <w:pPr>
              <w:spacing w:after="0" w:line="240" w:lineRule="auto"/>
            </w:pPr>
            <w:r>
              <w:rPr>
                <w:rFonts w:ascii="Aptos" w:hAnsi="Aptos"/>
                <w:b w:val="0"/>
                <w:i w:val="0"/>
                <w:color w:val="000000"/>
                <w:sz w:val="16"/>
              </w:rPr>
              <w:t>Independent reviewer</w:t>
            </w:r>
          </w:p>
        </w:tc>
      </w:tr>
      <w:tr>
        <w:trPr>
          <w:cantSplit/>
        </w:trPr>
        <w:tc>
          <w:tcPr>
            <w:tcW w:type="dxa" w:w="3283"/>
            <w:shd w:fill="F8FAFC"/>
            <w:vAlign w:val="center"/>
          </w:tcPr>
          <w:p>
            <w:pPr>
              <w:spacing w:after="0" w:line="240" w:lineRule="auto"/>
            </w:pPr>
            <w:r>
              <w:rPr>
                <w:rFonts w:ascii="Aptos" w:hAnsi="Aptos"/>
                <w:b w:val="0"/>
                <w:i w:val="0"/>
                <w:color w:val="000000"/>
                <w:sz w:val="16"/>
              </w:rPr>
              <w:t>Make first payment</w:t>
            </w:r>
          </w:p>
        </w:tc>
        <w:tc>
          <w:tcPr>
            <w:tcW w:type="dxa" w:w="4104"/>
            <w:shd w:fill="F8FAFC"/>
            <w:vAlign w:val="center"/>
          </w:tcPr>
          <w:p>
            <w:pPr>
              <w:spacing w:after="0" w:line="240" w:lineRule="auto"/>
            </w:pPr>
            <w:r>
              <w:rPr>
                <w:rFonts w:ascii="Aptos" w:hAnsi="Aptos"/>
                <w:b w:val="0"/>
                <w:i w:val="0"/>
                <w:color w:val="000000"/>
                <w:sz w:val="16"/>
              </w:rPr>
              <w:t>Next approved payroll or agency payment date after acceptance</w:t>
            </w:r>
          </w:p>
        </w:tc>
        <w:tc>
          <w:tcPr>
            <w:tcW w:type="dxa" w:w="2332"/>
            <w:shd w:fill="F8FAFC"/>
            <w:vAlign w:val="center"/>
          </w:tcPr>
          <w:p>
            <w:pPr>
              <w:spacing w:after="0" w:line="240" w:lineRule="auto"/>
            </w:pPr>
            <w:r>
              <w:rPr>
                <w:rFonts w:ascii="Aptos" w:hAnsi="Aptos"/>
                <w:b w:val="0"/>
                <w:i w:val="0"/>
                <w:color w:val="000000"/>
                <w:sz w:val="16"/>
              </w:rPr>
              <w:t>Finance / Payroll</w:t>
            </w:r>
          </w:p>
        </w:tc>
      </w:tr>
      <w:tr>
        <w:trPr>
          <w:cantSplit/>
        </w:trPr>
        <w:tc>
          <w:tcPr>
            <w:tcW w:type="dxa" w:w="3283"/>
            <w:vAlign w:val="center"/>
          </w:tcPr>
          <w:p>
            <w:pPr>
              <w:spacing w:after="0" w:line="240" w:lineRule="auto"/>
            </w:pPr>
            <w:r>
              <w:rPr>
                <w:rFonts w:ascii="Aptos" w:hAnsi="Aptos"/>
                <w:b w:val="0"/>
                <w:i w:val="0"/>
                <w:color w:val="000000"/>
                <w:sz w:val="16"/>
              </w:rPr>
              <w:t>Complete annual report</w:t>
            </w:r>
          </w:p>
        </w:tc>
        <w:tc>
          <w:tcPr>
            <w:tcW w:type="dxa" w:w="4104"/>
            <w:vAlign w:val="center"/>
          </w:tcPr>
          <w:p>
            <w:pPr>
              <w:spacing w:after="0" w:line="240" w:lineRule="auto"/>
            </w:pPr>
            <w:r>
              <w:rPr>
                <w:rFonts w:ascii="Aptos" w:hAnsi="Aptos"/>
                <w:b w:val="0"/>
                <w:i w:val="0"/>
                <w:color w:val="000000"/>
                <w:sz w:val="16"/>
              </w:rPr>
              <w:t>Within 30 business days after the Award Year</w:t>
            </w:r>
          </w:p>
        </w:tc>
        <w:tc>
          <w:tcPr>
            <w:tcW w:type="dxa" w:w="2332"/>
            <w:vAlign w:val="center"/>
          </w:tcPr>
          <w:p>
            <w:pPr>
              <w:spacing w:after="0" w:line="240" w:lineRule="auto"/>
            </w:pPr>
            <w:r>
              <w:rPr>
                <w:rFonts w:ascii="Aptos" w:hAnsi="Aptos"/>
                <w:b w:val="0"/>
                <w:i w:val="0"/>
                <w:color w:val="000000"/>
                <w:sz w:val="16"/>
              </w:rPr>
              <w:t>Administrator / Committee</w:t>
            </w:r>
          </w:p>
        </w:tc>
      </w:tr>
    </w:tbl>
    <w:p>
      <w:pPr>
        <w:pStyle w:val="Heading1"/>
      </w:pPr>
      <w:r>
        <w:t>6. Procedure</w:t>
      </w:r>
    </w:p>
    <w:p>
      <w:pPr>
        <w:pStyle w:val="StepHeading"/>
        <w:keepNext/>
      </w:pPr>
      <w:r>
        <w:rPr>
          <w:rFonts w:ascii="Aptos" w:hAnsi="Aptos"/>
          <w:b/>
          <w:i w:val="0"/>
          <w:color w:val="17365D"/>
          <w:sz w:val="21"/>
        </w:rPr>
        <w:t>6.1 Prepare and approve the Award Year</w:t>
      </w:r>
    </w:p>
    <w:p>
      <w:pPr>
        <w:keepLines/>
      </w:pPr>
      <w:r>
        <w:t>The Administrator prepares one Annual Planning Note covering the Award Year dates, application timetable, number and value of awards, budget, employee and labour-hire allocation, current documents and forms, appointed roles, secure submission and storage arrangements, applicant communications, and payment arrangements. The Executive Sponsor approves the Note before applications open.</w:t>
      </w:r>
    </w:p>
    <w:p>
      <w:pPr>
        <w:pStyle w:val="StepHeading"/>
        <w:keepNext/>
      </w:pPr>
      <w:r>
        <w:rPr>
          <w:rFonts w:ascii="Aptos" w:hAnsi="Aptos"/>
          <w:b/>
          <w:i w:val="0"/>
          <w:color w:val="17365D"/>
          <w:sz w:val="21"/>
        </w:rPr>
        <w:t>6.2 Open applications</w:t>
      </w:r>
    </w:p>
    <w:p>
      <w:pPr>
        <w:keepLines/>
      </w:pPr>
      <w:r>
        <w:t>The Administrator issues the approved English and Thai announcement, application form, evidence checklist and Privacy Notice. The announcement must state the eligibility summary, available awards, Award Year, deadline, submission method, required evidence, appeal process and support contact. It must describe the Bursary as a discretionary, EDPL-funded scheme; it must not promise an award, claim tax-free treatment or solicit donations.</w:t>
      </w:r>
    </w:p>
    <w:p>
      <w:pPr>
        <w:pStyle w:val="StepHeading"/>
        <w:keepNext/>
      </w:pPr>
      <w:r>
        <w:rPr>
          <w:rFonts w:ascii="Aptos" w:hAnsi="Aptos"/>
          <w:b/>
          <w:i w:val="0"/>
          <w:color w:val="17365D"/>
          <w:sz w:val="21"/>
        </w:rPr>
        <w:t>6.3 Receive and check applications</w:t>
      </w:r>
    </w:p>
    <w:p>
      <w:pPr>
        <w:keepLines/>
      </w:pPr>
      <w:r>
        <w:t>Applications must be submitted through the approved secure method. The Administrator assigns a reference number, records the date received and acknowledges receipt within two business days. Receipt does not confirm eligibility.</w:t>
      </w:r>
    </w:p>
    <w:p>
      <w:pPr>
        <w:pStyle w:val="ListBullet"/>
        <w:keepLines/>
        <w:spacing w:after="40"/>
      </w:pPr>
      <w:r>
        <w:rPr>
          <w:rFonts w:ascii="Aptos" w:hAnsi="Aptos"/>
          <w:b w:val="0"/>
          <w:i w:val="0"/>
          <w:color w:val="000000"/>
          <w:sz w:val="19"/>
        </w:rPr>
        <w:t>If information is missing or unclear, send one request listing everything required and the deadline for reply.</w:t>
      </w:r>
    </w:p>
    <w:p>
      <w:pPr>
        <w:pStyle w:val="ListBullet"/>
        <w:keepLines/>
        <w:spacing w:after="40"/>
      </w:pPr>
      <w:r>
        <w:rPr>
          <w:rFonts w:ascii="Aptos" w:hAnsi="Aptos"/>
          <w:b w:val="0"/>
          <w:i w:val="0"/>
          <w:color w:val="000000"/>
          <w:sz w:val="19"/>
        </w:rPr>
        <w:t>The Administrator may explain what is required but must not help an applicant improve their score.</w:t>
      </w:r>
    </w:p>
    <w:p>
      <w:pPr>
        <w:pStyle w:val="ListBullet"/>
        <w:keepLines/>
        <w:spacing w:after="40"/>
      </w:pPr>
      <w:r>
        <w:rPr>
          <w:rFonts w:ascii="Aptos" w:hAnsi="Aptos"/>
          <w:b w:val="0"/>
          <w:i w:val="0"/>
          <w:color w:val="000000"/>
          <w:sz w:val="19"/>
        </w:rPr>
        <w:t>A late application may proceed only when an exception is approved and recorded. Acceptance must not disadvantage other applicants.</w:t>
      </w:r>
    </w:p>
    <w:p>
      <w:pPr>
        <w:pStyle w:val="StepHeading"/>
        <w:keepNext/>
      </w:pPr>
      <w:r>
        <w:rPr>
          <w:rFonts w:ascii="Aptos" w:hAnsi="Aptos"/>
          <w:b/>
          <w:i w:val="0"/>
          <w:color w:val="17365D"/>
          <w:sz w:val="21"/>
        </w:rPr>
        <w:t>6.4 Confirm eligibility</w:t>
      </w:r>
    </w:p>
    <w:p>
      <w:pPr>
        <w:keepLines/>
      </w:pPr>
      <w:r>
        <w:t>HR, Finance and Operations complete the Eligibility Screening Record against the current Eligibility and Selection Rules. Record the result and the evidence used for each requirement. Do not send an application to reviewers until every applicable requirement has passed or an authorised exception has been recorded.</w:t>
      </w:r>
    </w:p>
    <w:p>
      <w:r>
        <w:t>Use internal employment and salary records wherever possible. Do not ask applicants for payslips unless Finance approves an exception. Do not give reviewers raw salary records or unnecessary identity or family documents. Refer suspected false or withheld information to HR and the Chairman and pause the application or payment until resolved.</w:t>
      </w:r>
    </w:p>
    <w:p>
      <w:pPr>
        <w:pStyle w:val="StepHeading"/>
        <w:keepNext/>
      </w:pPr>
      <w:r>
        <w:rPr>
          <w:rFonts w:ascii="Aptos" w:hAnsi="Aptos"/>
          <w:b/>
          <w:i w:val="0"/>
          <w:color w:val="17365D"/>
          <w:sz w:val="21"/>
        </w:rPr>
        <w:t>6.5 Check labour-hire participation</w:t>
      </w:r>
    </w:p>
    <w:p>
      <w:pPr>
        <w:keepLines/>
      </w:pPr>
      <w:r>
        <w:t>For a labour-hire application, confirm that agency participation is approved in the Annual Planning Note and the agency agreement is signed. Obtain the agency and Operations confirmations required by the Eligibility and Selection Rules. If either requirement is incomplete, record the application as unable to proceed and notify the applicant. This does not prevent eligible EDrill employee applications from continuing.</w:t>
      </w:r>
    </w:p>
    <w:p>
      <w:pPr>
        <w:pStyle w:val="StepHeading"/>
        <w:keepNext/>
      </w:pPr>
      <w:r>
        <w:rPr>
          <w:rFonts w:ascii="Aptos" w:hAnsi="Aptos"/>
          <w:b/>
          <w:i w:val="0"/>
          <w:color w:val="17365D"/>
          <w:sz w:val="21"/>
        </w:rPr>
        <w:t>6.6 Prepare applications for review</w:t>
      </w:r>
    </w:p>
    <w:p>
      <w:pPr>
        <w:keepLines/>
      </w:pPr>
      <w:r>
        <w:t>For each eligible application, the Administrator prepares a review pack showing the application reference, eligibility result, scoring information and evidence checklist. Remove bank details, identity documents, raw salary records and other personal information that reviewers do not need. Each reviewer signs the confidentiality and conflict declaration before receiving a pack. The Chairman assigns two reviewers who have no conflict. A conflicted person must not access, score, discuss, vote on or hear an appeal for that application.</w:t>
      </w:r>
    </w:p>
    <w:p>
      <w:pPr>
        <w:pStyle w:val="StepHeading"/>
        <w:keepNext/>
      </w:pPr>
      <w:r>
        <w:rPr>
          <w:rFonts w:ascii="Aptos" w:hAnsi="Aptos"/>
          <w:b/>
          <w:i w:val="0"/>
          <w:color w:val="17365D"/>
          <w:sz w:val="21"/>
        </w:rPr>
        <w:t>6.7 Score and rank applications</w:t>
      </w:r>
    </w:p>
    <w:p>
      <w:pPr>
        <w:keepLines/>
      </w:pPr>
      <w:r>
        <w:t>Each reviewer independently completes the approved Review Sheet using only the criteria and evidence permitted by the Eligibility and Selection Rules. Apply the stated method for resolving scoring differences and ties. Record the final score and ranking before the Committee meeting.</w:t>
      </w:r>
    </w:p>
    <w:p>
      <w:pPr>
        <w:pStyle w:val="StepHeading"/>
        <w:keepNext/>
      </w:pPr>
      <w:r>
        <w:rPr>
          <w:rFonts w:ascii="Aptos" w:hAnsi="Aptos"/>
          <w:b/>
          <w:i w:val="0"/>
          <w:color w:val="17365D"/>
          <w:sz w:val="21"/>
        </w:rPr>
        <w:t>6.8 Recommend and approve awards</w:t>
      </w:r>
    </w:p>
    <w:p>
      <w:pPr>
        <w:keepLines/>
      </w:pPr>
      <w:r>
        <w:t>The Committee meets and makes recommendations under the Committee Terms of Reference. The Administrator records attendance, quorum, conflicts, final ranking, available awards, recommended amounts, reasons, votes and any dissent. The recommendation must remain within the limits in the Charter and approved Annual Planning Note. The Executive Sponsor approves the final award list before notices or payment instructions are issued.</w:t>
      </w:r>
    </w:p>
    <w:p>
      <w:pPr>
        <w:pStyle w:val="StepHeading"/>
        <w:keepNext/>
      </w:pPr>
      <w:r>
        <w:rPr>
          <w:rFonts w:ascii="Aptos" w:hAnsi="Aptos"/>
          <w:b/>
          <w:i w:val="0"/>
          <w:color w:val="17365D"/>
          <w:sz w:val="21"/>
        </w:rPr>
        <w:t>6.9 Notify applicants and obtain acceptance</w:t>
      </w:r>
    </w:p>
    <w:p>
      <w:pPr>
        <w:keepLines/>
      </w:pPr>
      <w:r>
        <w:t>Within two business days after approval, the Administrator sends the approved decision notice. A successful applicant receives the approved amount, payment schedule, eligible costs, evidence requirements, conditions, duty to report changes, recovery terms and confirmation that renewal is not automatic. Payment begins only after written acceptance. An unsuccessful or ineligible applicant receives the outcome, permitted appeal grounds, submission method and deadline. Do not disclose another applicant’s information, ranking or Committee discussion.</w:t>
      </w:r>
    </w:p>
    <w:p>
      <w:pPr>
        <w:pStyle w:val="StepHeading"/>
        <w:keepNext/>
      </w:pPr>
      <w:r>
        <w:rPr>
          <w:rFonts w:ascii="Aptos" w:hAnsi="Aptos"/>
          <w:b/>
          <w:i w:val="0"/>
          <w:color w:val="17365D"/>
          <w:sz w:val="21"/>
        </w:rPr>
        <w:t>6.10 Administer appeals and exceptions</w:t>
      </w:r>
    </w:p>
    <w:p>
      <w:pPr>
        <w:keepLines/>
      </w:pPr>
      <w:r>
        <w:t>The Administrator checks that an appeal was submitted by the deadline and relies on a ground permitted by the Eligibility and Selection Rules. The Administrator acknowledges it and sends the complete record to an independent reviewer, who decides it within the applicable deadline. Record the decision, reasons and any resulting action, then notify the applicant.</w:t>
      </w:r>
    </w:p>
    <w:p>
      <w:r>
        <w:t>Record any exception request and send it to the authority identified in the governing documents. Do not apply an exception until written approval is received.</w:t>
      </w:r>
    </w:p>
    <w:p>
      <w:pPr>
        <w:pStyle w:val="StepHeading"/>
        <w:keepNext/>
      </w:pPr>
      <w:r>
        <w:rPr>
          <w:rFonts w:ascii="Aptos" w:hAnsi="Aptos"/>
          <w:b/>
          <w:i w:val="0"/>
          <w:color w:val="17365D"/>
          <w:sz w:val="21"/>
        </w:rPr>
        <w:t>6.11 Arrange payment</w:t>
      </w:r>
    </w:p>
    <w:p>
      <w:pPr>
        <w:keepLines/>
      </w:pPr>
      <w:r>
        <w:t>After final approval and written acceptance, the Chairman sends the approved payment instruction to Finance. Finance confirms the award amount, continued eligibility, required evidence, budget, payment details, tax and payroll treatment, and any agency requirements before releasing payment.</w:t>
      </w:r>
    </w:p>
    <w:p>
      <w:r>
        <w:t>Finance uses the payment route and limits in the Charter, Annual Planning Note and Payment and Evidence Rules. Any different payment route requires the written approval specified in those documents.</w:t>
      </w:r>
    </w:p>
    <w:p>
      <w:pPr>
        <w:pStyle w:val="StepHeading"/>
        <w:keepNext/>
      </w:pPr>
      <w:r>
        <w:rPr>
          <w:rFonts w:ascii="Aptos" w:hAnsi="Aptos"/>
          <w:b/>
          <w:i w:val="0"/>
          <w:color w:val="17365D"/>
          <w:sz w:val="21"/>
        </w:rPr>
        <w:t>6.12 Review quarterly payments and changes</w:t>
      </w:r>
    </w:p>
    <w:p>
      <w:pPr>
        <w:keepLines/>
      </w:pPr>
      <w:r>
        <w:t>Before each quarterly payment, HR and Finance confirm continued employment or assignment, school enrolment, eligible costs, previous payment evidence, other funding, unresolved issues and the amount due. The agency reconfirms status when required.</w:t>
      </w:r>
    </w:p>
    <w:p>
      <w:r>
        <w:t>Recipients must promptly report any change to employment, assignment, salary, schooling, age, dependency, school costs, other funding or submitted information. The Committee records whether the award continues, is suspended, ends or is reduced proportionately, and the date the change applies. Finance and HR arrange any repayment with the recipient or agency.</w:t>
      </w:r>
    </w:p>
    <w:p>
      <w:pPr>
        <w:pStyle w:val="StepHeading"/>
        <w:keepNext/>
      </w:pPr>
      <w:r>
        <w:rPr>
          <w:rFonts w:ascii="Aptos" w:hAnsi="Aptos"/>
          <w:b/>
          <w:i w:val="0"/>
          <w:color w:val="17365D"/>
          <w:sz w:val="21"/>
        </w:rPr>
        <w:t>6.13 Close the Award Year</w:t>
      </w:r>
    </w:p>
    <w:p>
      <w:pPr>
        <w:keepLines/>
      </w:pPr>
      <w:r>
        <w:t>Within 30 business days after the Award Year, the Administrator and Finance check approved and actual payments, unpaid amounts, changes, repayments, appeals, exceptions and records. The Administrator prepares an anonymised annual report covering application and award numbers, amounts approved and paid, employee and labour-hire awards, appeals, exceptions, problems, privacy incidents, repayments and recommendations. The Committee reviews the report and the Executive Sponsor decides the next year’s budget and any changes. Every Award Year starts with a new eligibility and selection assessment; previous recipients receive no preference.</w:t>
      </w:r>
    </w:p>
    <w:p>
      <w:pPr>
        <w:pStyle w:val="Heading1"/>
      </w:pPr>
      <w:r>
        <w:t>7. Privacy, records and communications</w:t>
      </w:r>
    </w:p>
    <w:p>
      <w:pPr>
        <w:pStyle w:val="ListBullet"/>
        <w:keepLines/>
        <w:spacing w:after="40"/>
      </w:pPr>
      <w:r>
        <w:rPr>
          <w:rFonts w:ascii="Aptos" w:hAnsi="Aptos"/>
          <w:b w:val="0"/>
          <w:i w:val="0"/>
          <w:color w:val="000000"/>
          <w:sz w:val="19"/>
        </w:rPr>
        <w:t>Store all Bursary records in the dedicated EDrill-managed SharePoint location. Give access only to people who need it for their assigned role.</w:t>
      </w:r>
    </w:p>
    <w:p>
      <w:pPr>
        <w:pStyle w:val="ListBullet"/>
        <w:keepLines/>
        <w:spacing w:after="40"/>
      </w:pPr>
      <w:r>
        <w:rPr>
          <w:rFonts w:ascii="Aptos" w:hAnsi="Aptos"/>
          <w:b w:val="0"/>
          <w:i w:val="0"/>
          <w:color w:val="000000"/>
          <w:sz w:val="19"/>
        </w:rPr>
        <w:t>Limit full applications, identity documents, salary information, consents and payment records to HR, Finance and the Administrator as required. Give the Committee only the information needed to assess applications.</w:t>
      </w:r>
    </w:p>
    <w:p>
      <w:pPr>
        <w:pStyle w:val="ListBullet"/>
        <w:keepLines/>
        <w:spacing w:after="40"/>
      </w:pPr>
      <w:r>
        <w:rPr>
          <w:rFonts w:ascii="Aptos" w:hAnsi="Aptos"/>
          <w:b w:val="0"/>
          <w:i w:val="0"/>
          <w:color w:val="000000"/>
          <w:sz w:val="19"/>
        </w:rPr>
        <w:t>Use named EDrill accounts. Do not use anonymous links, ‘Anyone’ links or general email distribution lists. Exchange information with the labour-hire agency only through the approved secure method.</w:t>
      </w:r>
    </w:p>
    <w:p>
      <w:pPr>
        <w:pStyle w:val="ListBullet"/>
        <w:keepLines/>
        <w:spacing w:after="40"/>
      </w:pPr>
      <w:r>
        <w:rPr>
          <w:rFonts w:ascii="Aptos" w:hAnsi="Aptos"/>
          <w:b w:val="0"/>
          <w:i w:val="0"/>
          <w:color w:val="000000"/>
          <w:sz w:val="19"/>
        </w:rPr>
        <w:t>Review access before each Award Year and remove it when duties end. Record any approved external or cross-border access.</w:t>
      </w:r>
    </w:p>
    <w:p>
      <w:pPr>
        <w:pStyle w:val="ListBullet"/>
        <w:keepLines/>
        <w:spacing w:after="40"/>
      </w:pPr>
      <w:r>
        <w:rPr>
          <w:rFonts w:ascii="Aptos" w:hAnsi="Aptos"/>
          <w:b w:val="0"/>
          <w:i w:val="0"/>
          <w:color w:val="000000"/>
          <w:sz w:val="19"/>
        </w:rPr>
        <w:t>Keep and delete records according to the approved retention schedule. Do not delete records required for an investigation, audit or legal matter.</w:t>
      </w:r>
    </w:p>
    <w:p>
      <w:pPr>
        <w:pStyle w:val="ListBullet"/>
        <w:keepLines/>
        <w:spacing w:after="40"/>
      </w:pPr>
      <w:r>
        <w:rPr>
          <w:rFonts w:ascii="Aptos" w:hAnsi="Aptos"/>
          <w:b w:val="0"/>
          <w:i w:val="0"/>
          <w:color w:val="000000"/>
          <w:sz w:val="19"/>
        </w:rPr>
        <w:t>Do not publish a recipient’s name, photograph or personal story without specific written consent.</w:t>
      </w:r>
    </w:p>
    <w:p>
      <w:pPr>
        <w:pStyle w:val="ListBullet"/>
        <w:keepLines/>
        <w:spacing w:after="40"/>
      </w:pPr>
      <w:r>
        <w:rPr>
          <w:rFonts w:ascii="Aptos" w:hAnsi="Aptos"/>
          <w:b w:val="0"/>
          <w:i w:val="0"/>
          <w:color w:val="000000"/>
          <w:sz w:val="19"/>
        </w:rPr>
        <w:t>Report any suspected loss, disclosure or misuse of information under EDrill’s information-security and privacy procedures.</w:t>
      </w:r>
    </w:p>
    <w:p>
      <w:pPr>
        <w:pStyle w:val="ListBullet"/>
        <w:keepLines/>
        <w:spacing w:after="40"/>
      </w:pPr>
      <w:r>
        <w:rPr>
          <w:rFonts w:ascii="Aptos" w:hAnsi="Aptos"/>
          <w:b w:val="0"/>
          <w:i w:val="0"/>
          <w:color w:val="000000"/>
          <w:sz w:val="19"/>
        </w:rPr>
        <w:t>Use approved applicant messages and check the dates, recipients, attachments, translation and personal information before sending.</w:t>
      </w:r>
    </w:p>
    <w:p>
      <w:pPr>
        <w:pStyle w:val="Heading1"/>
      </w:pPr>
      <w:r>
        <w:t>8. Records to keep</w:t>
      </w:r>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0"/>
        <w:gridCol w:w="2520"/>
      </w:tblGrid>
      <w:tr>
        <w:trPr>
          <w:tblHeader w:val="true"/>
          <w:cantSplit/>
        </w:trPr>
        <w:tc>
          <w:tcPr>
            <w:tcW w:type="dxa" w:w="7200"/>
            <w:tcMar>
              <w:top w:w="90" w:type="dxa"/>
              <w:start w:w="110" w:type="dxa"/>
              <w:bottom w:w="90" w:type="dxa"/>
              <w:end w:w="110" w:type="dxa"/>
            </w:tcMar>
            <w:shd w:fill="DCE6F1"/>
            <w:vAlign w:val="center"/>
          </w:tcPr>
          <w:p>
            <w:pPr>
              <w:spacing w:after="0"/>
            </w:pPr>
            <w:r>
              <w:rPr>
                <w:rFonts w:ascii="Aptos" w:hAnsi="Aptos"/>
                <w:b/>
                <w:i w:val="0"/>
                <w:color w:val="17365D"/>
                <w:sz w:val="16"/>
              </w:rPr>
              <w:t>Record</w:t>
            </w:r>
          </w:p>
        </w:tc>
        <w:tc>
          <w:tcPr>
            <w:tcW w:type="dxa" w:w="2520"/>
            <w:tcMar>
              <w:top w:w="90" w:type="dxa"/>
              <w:start w:w="110" w:type="dxa"/>
              <w:bottom w:w="90" w:type="dxa"/>
              <w:end w:w="110" w:type="dxa"/>
            </w:tcMar>
            <w:shd w:fill="DCE6F1"/>
            <w:vAlign w:val="center"/>
          </w:tcPr>
          <w:p>
            <w:pPr>
              <w:spacing w:after="0"/>
            </w:pPr>
            <w:r>
              <w:rPr>
                <w:rFonts w:ascii="Aptos" w:hAnsi="Aptos"/>
                <w:b/>
                <w:i w:val="0"/>
                <w:color w:val="17365D"/>
                <w:sz w:val="16"/>
              </w:rPr>
              <w:t>Responsible</w:t>
            </w:r>
          </w:p>
        </w:tc>
      </w:tr>
      <w:tr>
        <w:trPr>
          <w:cantSplit/>
        </w:trPr>
        <w:tc>
          <w:tcPr>
            <w:tcW w:type="dxa" w:w="7200"/>
            <w:vAlign w:val="center"/>
          </w:tcPr>
          <w:p>
            <w:pPr>
              <w:spacing w:after="0" w:line="240" w:lineRule="auto"/>
            </w:pPr>
            <w:r>
              <w:rPr>
                <w:rFonts w:ascii="Aptos" w:hAnsi="Aptos"/>
                <w:b w:val="0"/>
                <w:i w:val="0"/>
                <w:color w:val="000000"/>
                <w:sz w:val="16"/>
              </w:rPr>
              <w:t>Annual Planning Note</w:t>
            </w:r>
          </w:p>
        </w:tc>
        <w:tc>
          <w:tcPr>
            <w:tcW w:type="dxa" w:w="2520"/>
            <w:vAlign w:val="center"/>
          </w:tcPr>
          <w:p>
            <w:pPr>
              <w:spacing w:after="0" w:line="240" w:lineRule="auto"/>
            </w:pPr>
            <w:r>
              <w:rPr>
                <w:rFonts w:ascii="Aptos" w:hAnsi="Aptos"/>
                <w:b w:val="0"/>
                <w:i w:val="0"/>
                <w:color w:val="000000"/>
                <w:sz w:val="16"/>
              </w:rPr>
              <w:t>Administrator / Executive Sponsor</w:t>
            </w:r>
          </w:p>
        </w:tc>
      </w:tr>
      <w:tr>
        <w:trPr>
          <w:cantSplit/>
        </w:trPr>
        <w:tc>
          <w:tcPr>
            <w:tcW w:type="dxa" w:w="7200"/>
            <w:shd w:fill="F8FAFC"/>
            <w:vAlign w:val="center"/>
          </w:tcPr>
          <w:p>
            <w:pPr>
              <w:spacing w:after="0" w:line="240" w:lineRule="auto"/>
            </w:pPr>
            <w:r>
              <w:rPr>
                <w:rFonts w:ascii="Aptos" w:hAnsi="Aptos"/>
                <w:b w:val="0"/>
                <w:i w:val="0"/>
                <w:color w:val="000000"/>
                <w:sz w:val="16"/>
              </w:rPr>
              <w:t>Application Register and applicant correspondence</w:t>
            </w:r>
          </w:p>
        </w:tc>
        <w:tc>
          <w:tcPr>
            <w:tcW w:type="dxa" w:w="2520"/>
            <w:shd w:fill="F8FAFC"/>
            <w:vAlign w:val="center"/>
          </w:tcPr>
          <w:p>
            <w:pPr>
              <w:spacing w:after="0" w:line="240" w:lineRule="auto"/>
            </w:pPr>
            <w:r>
              <w:rPr>
                <w:rFonts w:ascii="Aptos" w:hAnsi="Aptos"/>
                <w:b w:val="0"/>
                <w:i w:val="0"/>
                <w:color w:val="000000"/>
                <w:sz w:val="16"/>
              </w:rPr>
              <w:t>Administrator</w:t>
            </w:r>
          </w:p>
        </w:tc>
      </w:tr>
      <w:tr>
        <w:trPr>
          <w:cantSplit/>
        </w:trPr>
        <w:tc>
          <w:tcPr>
            <w:tcW w:type="dxa" w:w="7200"/>
            <w:vAlign w:val="center"/>
          </w:tcPr>
          <w:p>
            <w:pPr>
              <w:spacing w:after="0" w:line="240" w:lineRule="auto"/>
            </w:pPr>
            <w:r>
              <w:rPr>
                <w:rFonts w:ascii="Aptos" w:hAnsi="Aptos"/>
                <w:b w:val="0"/>
                <w:i w:val="0"/>
                <w:color w:val="000000"/>
                <w:sz w:val="16"/>
              </w:rPr>
              <w:t>Eligibility Screening Record</w:t>
            </w:r>
          </w:p>
        </w:tc>
        <w:tc>
          <w:tcPr>
            <w:tcW w:type="dxa" w:w="2520"/>
            <w:vAlign w:val="center"/>
          </w:tcPr>
          <w:p>
            <w:pPr>
              <w:spacing w:after="0" w:line="240" w:lineRule="auto"/>
            </w:pPr>
            <w:r>
              <w:rPr>
                <w:rFonts w:ascii="Aptos" w:hAnsi="Aptos"/>
                <w:b w:val="0"/>
                <w:i w:val="0"/>
                <w:color w:val="000000"/>
                <w:sz w:val="16"/>
              </w:rPr>
              <w:t>HR / Finance / Operations</w:t>
            </w:r>
          </w:p>
        </w:tc>
      </w:tr>
      <w:tr>
        <w:trPr>
          <w:cantSplit/>
        </w:trPr>
        <w:tc>
          <w:tcPr>
            <w:tcW w:type="dxa" w:w="7200"/>
            <w:shd w:fill="F8FAFC"/>
            <w:vAlign w:val="center"/>
          </w:tcPr>
          <w:p>
            <w:pPr>
              <w:spacing w:after="0" w:line="240" w:lineRule="auto"/>
            </w:pPr>
            <w:r>
              <w:rPr>
                <w:rFonts w:ascii="Aptos" w:hAnsi="Aptos"/>
                <w:b w:val="0"/>
                <w:i w:val="0"/>
                <w:color w:val="000000"/>
                <w:sz w:val="16"/>
              </w:rPr>
              <w:t>Conflict declarations and reviewer assignments</w:t>
            </w:r>
          </w:p>
        </w:tc>
        <w:tc>
          <w:tcPr>
            <w:tcW w:type="dxa" w:w="2520"/>
            <w:shd w:fill="F8FAFC"/>
            <w:vAlign w:val="center"/>
          </w:tcPr>
          <w:p>
            <w:pPr>
              <w:spacing w:after="0" w:line="240" w:lineRule="auto"/>
            </w:pPr>
            <w:r>
              <w:rPr>
                <w:rFonts w:ascii="Aptos" w:hAnsi="Aptos"/>
                <w:b w:val="0"/>
                <w:i w:val="0"/>
                <w:color w:val="000000"/>
                <w:sz w:val="16"/>
              </w:rPr>
              <w:t>Chairman / Administrator</w:t>
            </w:r>
          </w:p>
        </w:tc>
      </w:tr>
      <w:tr>
        <w:trPr>
          <w:cantSplit/>
        </w:trPr>
        <w:tc>
          <w:tcPr>
            <w:tcW w:type="dxa" w:w="7200"/>
            <w:vAlign w:val="center"/>
          </w:tcPr>
          <w:p>
            <w:pPr>
              <w:spacing w:after="0" w:line="240" w:lineRule="auto"/>
            </w:pPr>
            <w:r>
              <w:rPr>
                <w:rFonts w:ascii="Aptos" w:hAnsi="Aptos"/>
                <w:b w:val="0"/>
                <w:i w:val="0"/>
                <w:color w:val="000000"/>
                <w:sz w:val="16"/>
              </w:rPr>
              <w:t>Review Sheets and agreed final scores</w:t>
            </w:r>
          </w:p>
        </w:tc>
        <w:tc>
          <w:tcPr>
            <w:tcW w:type="dxa" w:w="2520"/>
            <w:vAlign w:val="center"/>
          </w:tcPr>
          <w:p>
            <w:pPr>
              <w:spacing w:after="0" w:line="240" w:lineRule="auto"/>
            </w:pPr>
            <w:r>
              <w:rPr>
                <w:rFonts w:ascii="Aptos" w:hAnsi="Aptos"/>
                <w:b w:val="0"/>
                <w:i w:val="0"/>
                <w:color w:val="000000"/>
                <w:sz w:val="16"/>
              </w:rPr>
              <w:t>Reviewers / Administrator</w:t>
            </w:r>
          </w:p>
        </w:tc>
      </w:tr>
      <w:tr>
        <w:trPr>
          <w:cantSplit/>
        </w:trPr>
        <w:tc>
          <w:tcPr>
            <w:tcW w:type="dxa" w:w="7200"/>
            <w:shd w:fill="F8FAFC"/>
            <w:vAlign w:val="center"/>
          </w:tcPr>
          <w:p>
            <w:pPr>
              <w:spacing w:after="0" w:line="240" w:lineRule="auto"/>
            </w:pPr>
            <w:r>
              <w:rPr>
                <w:rFonts w:ascii="Aptos" w:hAnsi="Aptos"/>
                <w:b w:val="0"/>
                <w:i w:val="0"/>
                <w:color w:val="000000"/>
                <w:sz w:val="16"/>
              </w:rPr>
              <w:t>Committee minutes, recommendation and final approval</w:t>
            </w:r>
          </w:p>
        </w:tc>
        <w:tc>
          <w:tcPr>
            <w:tcW w:type="dxa" w:w="2520"/>
            <w:shd w:fill="F8FAFC"/>
            <w:vAlign w:val="center"/>
          </w:tcPr>
          <w:p>
            <w:pPr>
              <w:spacing w:after="0" w:line="240" w:lineRule="auto"/>
            </w:pPr>
            <w:r>
              <w:rPr>
                <w:rFonts w:ascii="Aptos" w:hAnsi="Aptos"/>
                <w:b w:val="0"/>
                <w:i w:val="0"/>
                <w:color w:val="000000"/>
                <w:sz w:val="16"/>
              </w:rPr>
              <w:t>Administrator / Chairman / Sponsor</w:t>
            </w:r>
          </w:p>
        </w:tc>
      </w:tr>
      <w:tr>
        <w:trPr>
          <w:cantSplit/>
        </w:trPr>
        <w:tc>
          <w:tcPr>
            <w:tcW w:type="dxa" w:w="7200"/>
            <w:vAlign w:val="center"/>
          </w:tcPr>
          <w:p>
            <w:pPr>
              <w:spacing w:after="0" w:line="240" w:lineRule="auto"/>
            </w:pPr>
            <w:r>
              <w:rPr>
                <w:rFonts w:ascii="Aptos" w:hAnsi="Aptos"/>
                <w:b w:val="0"/>
                <w:i w:val="0"/>
                <w:color w:val="000000"/>
                <w:sz w:val="16"/>
              </w:rPr>
              <w:t>Payment and quarterly review records</w:t>
            </w:r>
          </w:p>
        </w:tc>
        <w:tc>
          <w:tcPr>
            <w:tcW w:type="dxa" w:w="2520"/>
            <w:vAlign w:val="center"/>
          </w:tcPr>
          <w:p>
            <w:pPr>
              <w:spacing w:after="0" w:line="240" w:lineRule="auto"/>
            </w:pPr>
            <w:r>
              <w:rPr>
                <w:rFonts w:ascii="Aptos" w:hAnsi="Aptos"/>
                <w:b w:val="0"/>
                <w:i w:val="0"/>
                <w:color w:val="000000"/>
                <w:sz w:val="16"/>
              </w:rPr>
              <w:t>Finance / Payroll</w:t>
            </w:r>
          </w:p>
        </w:tc>
      </w:tr>
      <w:tr>
        <w:trPr>
          <w:cantSplit/>
        </w:trPr>
        <w:tc>
          <w:tcPr>
            <w:tcW w:type="dxa" w:w="7200"/>
            <w:shd w:fill="F8FAFC"/>
            <w:vAlign w:val="center"/>
          </w:tcPr>
          <w:p>
            <w:pPr>
              <w:spacing w:after="0" w:line="240" w:lineRule="auto"/>
            </w:pPr>
            <w:r>
              <w:rPr>
                <w:rFonts w:ascii="Aptos" w:hAnsi="Aptos"/>
                <w:b w:val="0"/>
                <w:i w:val="0"/>
                <w:color w:val="000000"/>
                <w:sz w:val="16"/>
              </w:rPr>
              <w:t>Appeals, exceptions, changes and repayments</w:t>
            </w:r>
          </w:p>
        </w:tc>
        <w:tc>
          <w:tcPr>
            <w:tcW w:type="dxa" w:w="2520"/>
            <w:shd w:fill="F8FAFC"/>
            <w:vAlign w:val="center"/>
          </w:tcPr>
          <w:p>
            <w:pPr>
              <w:spacing w:after="0" w:line="240" w:lineRule="auto"/>
            </w:pPr>
            <w:r>
              <w:rPr>
                <w:rFonts w:ascii="Aptos" w:hAnsi="Aptos"/>
                <w:b w:val="0"/>
                <w:i w:val="0"/>
                <w:color w:val="000000"/>
                <w:sz w:val="16"/>
              </w:rPr>
              <w:t>Administrator / HR / Finance</w:t>
            </w:r>
          </w:p>
        </w:tc>
      </w:tr>
      <w:tr>
        <w:trPr>
          <w:cantSplit/>
        </w:trPr>
        <w:tc>
          <w:tcPr>
            <w:tcW w:type="dxa" w:w="7200"/>
            <w:vAlign w:val="center"/>
          </w:tcPr>
          <w:p>
            <w:pPr>
              <w:spacing w:after="0" w:line="240" w:lineRule="auto"/>
            </w:pPr>
            <w:r>
              <w:rPr>
                <w:rFonts w:ascii="Aptos" w:hAnsi="Aptos"/>
                <w:b w:val="0"/>
                <w:i w:val="0"/>
                <w:color w:val="000000"/>
                <w:sz w:val="16"/>
              </w:rPr>
              <w:t>Annual Scheme Report</w:t>
            </w:r>
          </w:p>
        </w:tc>
        <w:tc>
          <w:tcPr>
            <w:tcW w:type="dxa" w:w="2520"/>
            <w:vAlign w:val="center"/>
          </w:tcPr>
          <w:p>
            <w:pPr>
              <w:spacing w:after="0" w:line="240" w:lineRule="auto"/>
            </w:pPr>
            <w:r>
              <w:rPr>
                <w:rFonts w:ascii="Aptos" w:hAnsi="Aptos"/>
                <w:b w:val="0"/>
                <w:i w:val="0"/>
                <w:color w:val="000000"/>
                <w:sz w:val="16"/>
              </w:rPr>
              <w:t>Administrator / Committee</w:t>
            </w:r>
          </w:p>
        </w:tc>
      </w:tr>
    </w:tbl>
    <w:p>
      <w:pPr>
        <w:pStyle w:val="Heading1"/>
      </w:pPr>
      <w:r>
        <w:t>9. Changes to this Procedure</w:t>
      </w:r>
    </w:p>
    <w:p>
      <w:r>
        <w:t>The Administrator records any departure from this Procedure and refers it to the authority named in the Charter or Committee Terms of Reference. Changes to eligibility, award amounts, number of awards, scoring, privacy, payment, labour-hire participation, appeals or governance must be approved before use and reflected in every affected document and form.</w:t>
      </w:r>
    </w:p>
    <w:p>
      <w:r>
        <w:t>The Administrator keeps the current approved version in the document register and archives replaced versions. Printed or downloaded copies may become out of date; users must check the current approved version before use.</w:t>
      </w:r>
    </w:p>
    <w:p>
      <w:pPr>
        <w:pStyle w:val="Heading1"/>
      </w:pPr>
      <w:r>
        <w:t>10. Related documents</w:t>
      </w:r>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16"/>
        <w:gridCol w:w="5903"/>
      </w:tblGrid>
      <w:tr>
        <w:trPr>
          <w:tblHeader w:val="true"/>
          <w:cantSplit/>
        </w:trPr>
        <w:tc>
          <w:tcPr>
            <w:tcW w:type="dxa" w:w="3816"/>
            <w:tcMar>
              <w:top w:w="90" w:type="dxa"/>
              <w:start w:w="110" w:type="dxa"/>
              <w:bottom w:w="90" w:type="dxa"/>
              <w:end w:w="110" w:type="dxa"/>
            </w:tcMar>
            <w:shd w:fill="DCE6F1"/>
            <w:vAlign w:val="center"/>
          </w:tcPr>
          <w:p>
            <w:pPr>
              <w:spacing w:after="0"/>
            </w:pPr>
            <w:r>
              <w:rPr>
                <w:rFonts w:ascii="Aptos" w:hAnsi="Aptos"/>
                <w:b/>
                <w:i w:val="0"/>
                <w:color w:val="17365D"/>
                <w:sz w:val="16"/>
              </w:rPr>
              <w:t>Document</w:t>
            </w:r>
          </w:p>
        </w:tc>
        <w:tc>
          <w:tcPr>
            <w:tcW w:type="dxa" w:w="5904"/>
            <w:tcMar>
              <w:top w:w="90" w:type="dxa"/>
              <w:start w:w="110" w:type="dxa"/>
              <w:bottom w:w="90" w:type="dxa"/>
              <w:end w:w="110" w:type="dxa"/>
            </w:tcMar>
            <w:shd w:fill="DCE6F1"/>
            <w:vAlign w:val="center"/>
          </w:tcPr>
          <w:p>
            <w:pPr>
              <w:spacing w:after="0"/>
            </w:pPr>
            <w:r>
              <w:rPr>
                <w:rFonts w:ascii="Aptos" w:hAnsi="Aptos"/>
                <w:b/>
                <w:i w:val="0"/>
                <w:color w:val="17365D"/>
                <w:sz w:val="16"/>
              </w:rPr>
              <w:t>Used for</w:t>
            </w:r>
          </w:p>
        </w:tc>
      </w:tr>
      <w:tr>
        <w:trPr>
          <w:cantSplit/>
        </w:trPr>
        <w:tc>
          <w:tcPr>
            <w:tcW w:type="dxa" w:w="3816"/>
            <w:vAlign w:val="center"/>
          </w:tcPr>
          <w:p>
            <w:pPr>
              <w:spacing w:after="0" w:line="240" w:lineRule="auto"/>
            </w:pPr>
            <w:r>
              <w:rPr>
                <w:rFonts w:ascii="Aptos" w:hAnsi="Aptos"/>
                <w:b w:val="0"/>
                <w:i w:val="0"/>
                <w:color w:val="000000"/>
                <w:sz w:val="16"/>
              </w:rPr>
              <w:t>Bursary Charter</w:t>
            </w:r>
          </w:p>
        </w:tc>
        <w:tc>
          <w:tcPr>
            <w:tcW w:type="dxa" w:w="5903"/>
            <w:vAlign w:val="center"/>
          </w:tcPr>
          <w:p>
            <w:pPr>
              <w:spacing w:after="0" w:line="240" w:lineRule="auto"/>
            </w:pPr>
            <w:r>
              <w:rPr>
                <w:rFonts w:ascii="Aptos" w:hAnsi="Aptos"/>
                <w:b w:val="0"/>
                <w:i w:val="0"/>
                <w:color w:val="000000"/>
                <w:sz w:val="16"/>
              </w:rPr>
              <w:t>Purpose, scope, governance and award authority</w:t>
            </w:r>
          </w:p>
        </w:tc>
      </w:tr>
      <w:tr>
        <w:trPr>
          <w:cantSplit/>
        </w:trPr>
        <w:tc>
          <w:tcPr>
            <w:tcW w:type="dxa" w:w="3816"/>
            <w:shd w:fill="F8FAFC"/>
            <w:vAlign w:val="center"/>
          </w:tcPr>
          <w:p>
            <w:pPr>
              <w:spacing w:after="0" w:line="240" w:lineRule="auto"/>
            </w:pPr>
            <w:r>
              <w:rPr>
                <w:rFonts w:ascii="Aptos" w:hAnsi="Aptos"/>
                <w:b w:val="0"/>
                <w:i w:val="0"/>
                <w:color w:val="000000"/>
                <w:sz w:val="16"/>
              </w:rPr>
              <w:t>Eligibility and Selection Rules</w:t>
            </w:r>
          </w:p>
        </w:tc>
        <w:tc>
          <w:tcPr>
            <w:tcW w:type="dxa" w:w="5903"/>
            <w:shd w:fill="F8FAFC"/>
            <w:vAlign w:val="center"/>
          </w:tcPr>
          <w:p>
            <w:pPr>
              <w:spacing w:after="0" w:line="240" w:lineRule="auto"/>
            </w:pPr>
            <w:r>
              <w:rPr>
                <w:rFonts w:ascii="Aptos" w:hAnsi="Aptos"/>
                <w:b w:val="0"/>
                <w:i w:val="0"/>
                <w:color w:val="000000"/>
                <w:sz w:val="16"/>
              </w:rPr>
              <w:t>Eligibility requirements, scoring, ranking, tie-breakers and appeal grounds</w:t>
            </w:r>
          </w:p>
        </w:tc>
      </w:tr>
      <w:tr>
        <w:trPr>
          <w:cantSplit/>
        </w:trPr>
        <w:tc>
          <w:tcPr>
            <w:tcW w:type="dxa" w:w="3816"/>
            <w:vAlign w:val="center"/>
          </w:tcPr>
          <w:p>
            <w:pPr>
              <w:spacing w:after="0" w:line="240" w:lineRule="auto"/>
            </w:pPr>
            <w:r>
              <w:rPr>
                <w:rFonts w:ascii="Aptos" w:hAnsi="Aptos"/>
                <w:b w:val="0"/>
                <w:i w:val="0"/>
                <w:color w:val="000000"/>
                <w:sz w:val="16"/>
              </w:rPr>
              <w:t>Payment and Evidence Rules</w:t>
            </w:r>
          </w:p>
        </w:tc>
        <w:tc>
          <w:tcPr>
            <w:tcW w:type="dxa" w:w="5903"/>
            <w:vAlign w:val="center"/>
          </w:tcPr>
          <w:p>
            <w:pPr>
              <w:spacing w:after="0" w:line="240" w:lineRule="auto"/>
            </w:pPr>
            <w:r>
              <w:rPr>
                <w:rFonts w:ascii="Aptos" w:hAnsi="Aptos"/>
                <w:b w:val="0"/>
                <w:i w:val="0"/>
                <w:color w:val="000000"/>
                <w:sz w:val="16"/>
              </w:rPr>
              <w:t>Payment, tax, evidence, agency payment and recovery</w:t>
            </w:r>
          </w:p>
        </w:tc>
      </w:tr>
      <w:tr>
        <w:trPr>
          <w:cantSplit/>
        </w:trPr>
        <w:tc>
          <w:tcPr>
            <w:tcW w:type="dxa" w:w="3816"/>
            <w:shd w:fill="F8FAFC"/>
            <w:vAlign w:val="center"/>
          </w:tcPr>
          <w:p>
            <w:pPr>
              <w:spacing w:after="0" w:line="240" w:lineRule="auto"/>
            </w:pPr>
            <w:r>
              <w:rPr>
                <w:rFonts w:ascii="Aptos" w:hAnsi="Aptos"/>
                <w:b w:val="0"/>
                <w:i w:val="0"/>
                <w:color w:val="000000"/>
                <w:sz w:val="16"/>
              </w:rPr>
              <w:t>Committee Terms of Reference</w:t>
            </w:r>
          </w:p>
        </w:tc>
        <w:tc>
          <w:tcPr>
            <w:tcW w:type="dxa" w:w="5903"/>
            <w:shd w:fill="F8FAFC"/>
            <w:vAlign w:val="center"/>
          </w:tcPr>
          <w:p>
            <w:pPr>
              <w:spacing w:after="0" w:line="240" w:lineRule="auto"/>
            </w:pPr>
            <w:r>
              <w:rPr>
                <w:rFonts w:ascii="Aptos" w:hAnsi="Aptos"/>
                <w:b w:val="0"/>
                <w:i w:val="0"/>
                <w:color w:val="000000"/>
                <w:sz w:val="16"/>
              </w:rPr>
              <w:t>Membership, quorum, voting, conflicts and delegation</w:t>
            </w:r>
          </w:p>
        </w:tc>
      </w:tr>
      <w:tr>
        <w:trPr>
          <w:cantSplit/>
        </w:trPr>
        <w:tc>
          <w:tcPr>
            <w:tcW w:type="dxa" w:w="3816"/>
            <w:vAlign w:val="center"/>
          </w:tcPr>
          <w:p>
            <w:pPr>
              <w:spacing w:after="0" w:line="240" w:lineRule="auto"/>
            </w:pPr>
            <w:r>
              <w:rPr>
                <w:rFonts w:ascii="Aptos" w:hAnsi="Aptos"/>
                <w:b w:val="0"/>
                <w:i w:val="0"/>
                <w:color w:val="000000"/>
                <w:sz w:val="16"/>
              </w:rPr>
              <w:t>Review Sheet</w:t>
            </w:r>
          </w:p>
        </w:tc>
        <w:tc>
          <w:tcPr>
            <w:tcW w:type="dxa" w:w="5903"/>
            <w:vAlign w:val="center"/>
          </w:tcPr>
          <w:p>
            <w:pPr>
              <w:spacing w:after="0" w:line="240" w:lineRule="auto"/>
            </w:pPr>
            <w:r>
              <w:rPr>
                <w:rFonts w:ascii="Aptos" w:hAnsi="Aptos"/>
                <w:b w:val="0"/>
                <w:i w:val="0"/>
                <w:color w:val="000000"/>
                <w:sz w:val="16"/>
              </w:rPr>
              <w:t>Approved scoring bands and evidence references</w:t>
            </w:r>
          </w:p>
        </w:tc>
      </w:tr>
      <w:tr>
        <w:trPr>
          <w:cantSplit/>
        </w:trPr>
        <w:tc>
          <w:tcPr>
            <w:tcW w:type="dxa" w:w="3816"/>
            <w:shd w:fill="F8FAFC"/>
            <w:vAlign w:val="center"/>
          </w:tcPr>
          <w:p>
            <w:pPr>
              <w:spacing w:after="0" w:line="240" w:lineRule="auto"/>
            </w:pPr>
            <w:r>
              <w:rPr>
                <w:rFonts w:ascii="Aptos" w:hAnsi="Aptos"/>
                <w:b w:val="0"/>
                <w:i w:val="0"/>
                <w:color w:val="000000"/>
                <w:sz w:val="16"/>
              </w:rPr>
              <w:t>Privacy Notice and Records Schedule</w:t>
            </w:r>
          </w:p>
        </w:tc>
        <w:tc>
          <w:tcPr>
            <w:tcW w:type="dxa" w:w="5903"/>
            <w:shd w:fill="F8FAFC"/>
            <w:vAlign w:val="center"/>
          </w:tcPr>
          <w:p>
            <w:pPr>
              <w:spacing w:after="0" w:line="240" w:lineRule="auto"/>
            </w:pPr>
            <w:r>
              <w:rPr>
                <w:rFonts w:ascii="Aptos" w:hAnsi="Aptos"/>
                <w:b w:val="0"/>
                <w:i w:val="0"/>
                <w:color w:val="000000"/>
                <w:sz w:val="16"/>
              </w:rPr>
              <w:t>Use, access, retention and deletion of personal information</w:t>
            </w:r>
          </w:p>
        </w:tc>
      </w:tr>
      <w:tr>
        <w:trPr>
          <w:cantSplit/>
        </w:trPr>
        <w:tc>
          <w:tcPr>
            <w:tcW w:type="dxa" w:w="3816"/>
            <w:vAlign w:val="center"/>
          </w:tcPr>
          <w:p>
            <w:pPr>
              <w:spacing w:after="0" w:line="240" w:lineRule="auto"/>
            </w:pPr>
            <w:r>
              <w:rPr>
                <w:rFonts w:ascii="Aptos" w:hAnsi="Aptos"/>
                <w:b w:val="0"/>
                <w:i w:val="0"/>
                <w:color w:val="000000"/>
                <w:sz w:val="16"/>
              </w:rPr>
              <w:t>Application and communication pack</w:t>
            </w:r>
          </w:p>
        </w:tc>
        <w:tc>
          <w:tcPr>
            <w:tcW w:type="dxa" w:w="5903"/>
            <w:vAlign w:val="center"/>
          </w:tcPr>
          <w:p>
            <w:pPr>
              <w:spacing w:after="0" w:line="240" w:lineRule="auto"/>
            </w:pPr>
            <w:r>
              <w:rPr>
                <w:rFonts w:ascii="Aptos" w:hAnsi="Aptos"/>
                <w:b w:val="0"/>
                <w:i w:val="0"/>
                <w:color w:val="000000"/>
                <w:sz w:val="16"/>
              </w:rPr>
              <w:t>Applications, declarations, evidence and applicant notices</w:t>
            </w:r>
          </w:p>
        </w:tc>
      </w:tr>
    </w:tbl>
    <w:p>
      <w:pPr>
        <w:pStyle w:val="Heading1"/>
      </w:pPr>
      <w:r>
        <w:t>11. Revision history</w:t>
      </w:r>
    </w:p>
    <w:tbl>
      <w:tblPr>
        <w:tblW w:type="dxa" w:w="9720"/>
        <w:jc w:val="left"/>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
        <w:gridCol w:w="1728"/>
        <w:gridCol w:w="1296"/>
        <w:gridCol w:w="5760"/>
      </w:tblGrid>
      <w:tr>
        <w:trPr>
          <w:tblHeader w:val="true"/>
          <w:cantSplit/>
        </w:trPr>
        <w:tc>
          <w:tcPr>
            <w:tcW w:type="dxa" w:w="936"/>
            <w:tcMar>
              <w:top w:w="90" w:type="dxa"/>
              <w:start w:w="110" w:type="dxa"/>
              <w:bottom w:w="90" w:type="dxa"/>
              <w:end w:w="110" w:type="dxa"/>
            </w:tcMar>
            <w:shd w:fill="DCE6F1"/>
            <w:vAlign w:val="center"/>
          </w:tcPr>
          <w:p>
            <w:pPr>
              <w:spacing w:after="0"/>
            </w:pPr>
            <w:r>
              <w:rPr>
                <w:rFonts w:ascii="Aptos" w:hAnsi="Aptos"/>
                <w:b/>
                <w:i w:val="0"/>
                <w:color w:val="17365D"/>
                <w:sz w:val="16"/>
              </w:rPr>
              <w:t>Version</w:t>
            </w:r>
          </w:p>
        </w:tc>
        <w:tc>
          <w:tcPr>
            <w:tcW w:type="dxa" w:w="1728"/>
            <w:tcMar>
              <w:top w:w="90" w:type="dxa"/>
              <w:start w:w="110" w:type="dxa"/>
              <w:bottom w:w="90" w:type="dxa"/>
              <w:end w:w="110" w:type="dxa"/>
            </w:tcMar>
            <w:shd w:fill="DCE6F1"/>
            <w:vAlign w:val="center"/>
          </w:tcPr>
          <w:p>
            <w:pPr>
              <w:spacing w:after="0"/>
            </w:pPr>
            <w:r>
              <w:rPr>
                <w:rFonts w:ascii="Aptos" w:hAnsi="Aptos"/>
                <w:b/>
                <w:i w:val="0"/>
                <w:color w:val="17365D"/>
                <w:sz w:val="16"/>
              </w:rPr>
              <w:t>Date</w:t>
            </w:r>
          </w:p>
        </w:tc>
        <w:tc>
          <w:tcPr>
            <w:tcW w:type="dxa" w:w="1296"/>
            <w:tcMar>
              <w:top w:w="90" w:type="dxa"/>
              <w:start w:w="110" w:type="dxa"/>
              <w:bottom w:w="90" w:type="dxa"/>
              <w:end w:w="110" w:type="dxa"/>
            </w:tcMar>
            <w:shd w:fill="DCE6F1"/>
            <w:vAlign w:val="center"/>
          </w:tcPr>
          <w:p>
            <w:pPr>
              <w:spacing w:after="0"/>
            </w:pPr>
            <w:r>
              <w:rPr>
                <w:rFonts w:ascii="Aptos" w:hAnsi="Aptos"/>
                <w:b/>
                <w:i w:val="0"/>
                <w:color w:val="17365D"/>
                <w:sz w:val="16"/>
              </w:rPr>
              <w:t>Status</w:t>
            </w:r>
          </w:p>
        </w:tc>
        <w:tc>
          <w:tcPr>
            <w:tcW w:type="dxa" w:w="5760"/>
            <w:tcMar>
              <w:top w:w="90" w:type="dxa"/>
              <w:start w:w="110" w:type="dxa"/>
              <w:bottom w:w="90" w:type="dxa"/>
              <w:end w:w="110" w:type="dxa"/>
            </w:tcMar>
            <w:shd w:fill="DCE6F1"/>
            <w:vAlign w:val="center"/>
          </w:tcPr>
          <w:p>
            <w:pPr>
              <w:spacing w:after="0"/>
            </w:pPr>
            <w:r>
              <w:rPr>
                <w:rFonts w:ascii="Aptos" w:hAnsi="Aptos"/>
                <w:b/>
                <w:i w:val="0"/>
                <w:color w:val="17365D"/>
                <w:sz w:val="16"/>
              </w:rPr>
              <w:t>Summary</w:t>
            </w:r>
          </w:p>
        </w:tc>
      </w:tr>
      <w:tr>
        <w:trPr>
          <w:cantSplit/>
        </w:trPr>
        <w:tc>
          <w:tcPr>
            <w:tcW w:type="dxa" w:w="936"/>
            <w:vAlign w:val="center"/>
          </w:tcPr>
          <w:p>
            <w:pPr>
              <w:spacing w:after="0" w:line="240" w:lineRule="auto"/>
            </w:pPr>
            <w:r>
              <w:rPr>
                <w:rFonts w:ascii="Aptos" w:hAnsi="Aptos"/>
                <w:b w:val="0"/>
                <w:i w:val="0"/>
                <w:color w:val="000000"/>
                <w:sz w:val="16"/>
              </w:rPr>
              <w:t>0.1</w:t>
            </w:r>
          </w:p>
        </w:tc>
        <w:tc>
          <w:tcPr>
            <w:tcW w:type="dxa" w:w="1728"/>
            <w:vAlign w:val="center"/>
          </w:tcPr>
          <w:p>
            <w:pPr>
              <w:spacing w:after="0" w:line="240" w:lineRule="auto"/>
            </w:pPr>
            <w:r>
              <w:rPr>
                <w:rFonts w:ascii="Aptos" w:hAnsi="Aptos"/>
                <w:b w:val="0"/>
                <w:i w:val="0"/>
                <w:color w:val="000000"/>
                <w:sz w:val="16"/>
              </w:rPr>
              <w:t>June 2026</w:t>
            </w:r>
          </w:p>
        </w:tc>
        <w:tc>
          <w:tcPr>
            <w:tcW w:type="dxa" w:w="1296"/>
            <w:vAlign w:val="center"/>
          </w:tcPr>
          <w:p>
            <w:pPr>
              <w:spacing w:after="0" w:line="240" w:lineRule="auto"/>
            </w:pPr>
            <w:r>
              <w:rPr>
                <w:rFonts w:ascii="Aptos" w:hAnsi="Aptos"/>
                <w:b w:val="0"/>
                <w:i w:val="0"/>
                <w:color w:val="000000"/>
                <w:sz w:val="16"/>
              </w:rPr>
              <w:t>Draft</w:t>
            </w:r>
          </w:p>
        </w:tc>
        <w:tc>
          <w:tcPr>
            <w:tcW w:type="dxa" w:w="5760"/>
            <w:vAlign w:val="center"/>
          </w:tcPr>
          <w:p>
            <w:pPr>
              <w:spacing w:after="0" w:line="240" w:lineRule="auto"/>
            </w:pPr>
            <w:r>
              <w:rPr>
                <w:rFonts w:ascii="Aptos" w:hAnsi="Aptos"/>
                <w:b w:val="0"/>
                <w:i w:val="0"/>
                <w:color w:val="000000"/>
                <w:sz w:val="16"/>
              </w:rPr>
              <w:t>Initial draft.</w:t>
            </w:r>
          </w:p>
        </w:tc>
      </w:tr>
      <w:tr>
        <w:trPr>
          <w:cantSplit/>
        </w:trPr>
        <w:tc>
          <w:tcPr>
            <w:tcW w:type="dxa" w:w="936"/>
            <w:shd w:fill="F8FAFC"/>
            <w:vAlign w:val="center"/>
          </w:tcPr>
          <w:p>
            <w:pPr>
              <w:spacing w:after="0" w:line="240" w:lineRule="auto"/>
            </w:pPr>
            <w:r>
              <w:rPr>
                <w:rFonts w:ascii="Aptos" w:hAnsi="Aptos"/>
                <w:b w:val="0"/>
                <w:i w:val="0"/>
                <w:color w:val="000000"/>
                <w:sz w:val="16"/>
              </w:rPr>
              <w:t>1.3</w:t>
            </w:r>
          </w:p>
        </w:tc>
        <w:tc>
          <w:tcPr>
            <w:tcW w:type="dxa" w:w="1728"/>
            <w:shd w:fill="F8FAFC"/>
            <w:vAlign w:val="center"/>
          </w:tcPr>
          <w:p>
            <w:pPr>
              <w:spacing w:after="0" w:line="240" w:lineRule="auto"/>
            </w:pPr>
            <w:r>
              <w:rPr>
                <w:rFonts w:ascii="Aptos" w:hAnsi="Aptos"/>
                <w:b w:val="0"/>
                <w:i w:val="0"/>
                <w:color w:val="000000"/>
                <w:sz w:val="16"/>
              </w:rPr>
              <w:t>26 August 2026</w:t>
            </w:r>
          </w:p>
        </w:tc>
        <w:tc>
          <w:tcPr>
            <w:tcW w:type="dxa" w:w="1296"/>
            <w:shd w:fill="F8FAFC"/>
            <w:vAlign w:val="center"/>
          </w:tcPr>
          <w:p>
            <w:pPr>
              <w:spacing w:after="0" w:line="240" w:lineRule="auto"/>
            </w:pPr>
            <w:r>
              <w:rPr>
                <w:rFonts w:ascii="Aptos" w:hAnsi="Aptos"/>
                <w:b w:val="0"/>
                <w:i w:val="0"/>
                <w:color w:val="000000"/>
                <w:sz w:val="16"/>
              </w:rPr>
              <w:t>Approved</w:t>
            </w:r>
          </w:p>
        </w:tc>
        <w:tc>
          <w:tcPr>
            <w:tcW w:type="dxa" w:w="5760"/>
            <w:shd w:fill="F8FAFC"/>
            <w:vAlign w:val="center"/>
          </w:tcPr>
          <w:p>
            <w:pPr>
              <w:spacing w:after="0" w:line="240" w:lineRule="auto"/>
            </w:pPr>
            <w:r>
              <w:rPr>
                <w:rFonts w:ascii="Aptos" w:hAnsi="Aptos"/>
                <w:b w:val="0"/>
                <w:i w:val="0"/>
                <w:color w:val="000000"/>
                <w:sz w:val="16"/>
              </w:rPr>
              <w:t>Aligned with the Charter and Eligibility Rules.</w:t>
            </w:r>
          </w:p>
        </w:tc>
      </w:tr>
      <w:tr>
        <w:trPr>
          <w:cantSplit/>
        </w:trPr>
        <w:tc>
          <w:tcPr>
            <w:tcW w:type="dxa" w:w="936"/>
            <w:vAlign w:val="center"/>
          </w:tcPr>
          <w:p>
            <w:pPr>
              <w:spacing w:after="0" w:line="240" w:lineRule="auto"/>
            </w:pPr>
            <w:r>
              <w:rPr>
                <w:rFonts w:ascii="Aptos" w:hAnsi="Aptos"/>
                <w:b w:val="0"/>
                <w:i w:val="0"/>
                <w:color w:val="000000"/>
                <w:sz w:val="16"/>
              </w:rPr>
              <w:t>1.4</w:t>
            </w:r>
          </w:p>
        </w:tc>
        <w:tc>
          <w:tcPr>
            <w:tcW w:type="dxa" w:w="1728"/>
            <w:vAlign w:val="center"/>
          </w:tcPr>
          <w:p>
            <w:pPr>
              <w:spacing w:after="0" w:line="240" w:lineRule="auto"/>
            </w:pPr>
            <w:r>
              <w:rPr>
                <w:rFonts w:ascii="Aptos" w:hAnsi="Aptos"/>
                <w:b w:val="0"/>
                <w:i w:val="0"/>
                <w:color w:val="000000"/>
                <w:sz w:val="16"/>
              </w:rPr>
              <w:t>26 August 2026</w:t>
            </w:r>
          </w:p>
        </w:tc>
        <w:tc>
          <w:tcPr>
            <w:tcW w:type="dxa" w:w="1296"/>
            <w:vAlign w:val="center"/>
          </w:tcPr>
          <w:p>
            <w:pPr>
              <w:spacing w:after="0" w:line="240" w:lineRule="auto"/>
            </w:pPr>
            <w:r>
              <w:rPr>
                <w:rFonts w:ascii="Aptos" w:hAnsi="Aptos"/>
                <w:b w:val="0"/>
                <w:i w:val="0"/>
                <w:color w:val="000000"/>
                <w:sz w:val="16"/>
              </w:rPr>
              <w:t>Approved</w:t>
            </w:r>
          </w:p>
        </w:tc>
        <w:tc>
          <w:tcPr>
            <w:tcW w:type="dxa" w:w="5760"/>
            <w:vAlign w:val="center"/>
          </w:tcPr>
          <w:p>
            <w:pPr>
              <w:spacing w:after="0" w:line="240" w:lineRule="auto"/>
            </w:pPr>
            <w:r>
              <w:rPr>
                <w:rFonts w:ascii="Aptos" w:hAnsi="Aptos"/>
                <w:b w:val="0"/>
                <w:i w:val="0"/>
                <w:color w:val="000000"/>
                <w:sz w:val="16"/>
              </w:rPr>
              <w:t>Converted to an annual procedure and updated SharePoint and privacy requirements.</w:t>
            </w:r>
          </w:p>
        </w:tc>
      </w:tr>
      <w:tr>
        <w:trPr>
          <w:cantSplit/>
        </w:trPr>
        <w:tc>
          <w:tcPr>
            <w:tcW w:type="dxa" w:w="936"/>
            <w:shd w:fill="F8FAFC"/>
            <w:vAlign w:val="center"/>
          </w:tcPr>
          <w:p>
            <w:pPr>
              <w:spacing w:after="0" w:line="240" w:lineRule="auto"/>
            </w:pPr>
            <w:r>
              <w:rPr>
                <w:rFonts w:ascii="Aptos" w:hAnsi="Aptos"/>
                <w:b w:val="0"/>
                <w:i w:val="0"/>
                <w:color w:val="000000"/>
                <w:sz w:val="16"/>
              </w:rPr>
              <w:t>1.5</w:t>
            </w:r>
          </w:p>
        </w:tc>
        <w:tc>
          <w:tcPr>
            <w:tcW w:type="dxa" w:w="1728"/>
            <w:shd w:fill="F8FAFC"/>
            <w:vAlign w:val="center"/>
          </w:tcPr>
          <w:p>
            <w:pPr>
              <w:spacing w:after="0" w:line="240" w:lineRule="auto"/>
            </w:pPr>
            <w:r>
              <w:rPr>
                <w:rFonts w:ascii="Aptos" w:hAnsi="Aptos"/>
                <w:b w:val="0"/>
                <w:i w:val="0"/>
                <w:color w:val="000000"/>
                <w:sz w:val="16"/>
              </w:rPr>
              <w:t>31 August 2026</w:t>
            </w:r>
          </w:p>
        </w:tc>
        <w:tc>
          <w:tcPr>
            <w:tcW w:type="dxa" w:w="1296"/>
            <w:shd w:fill="F8FAFC"/>
            <w:vAlign w:val="center"/>
          </w:tcPr>
          <w:p>
            <w:pPr>
              <w:spacing w:after="0" w:line="240" w:lineRule="auto"/>
            </w:pPr>
            <w:r>
              <w:rPr>
                <w:rFonts w:ascii="Aptos" w:hAnsi="Aptos"/>
                <w:b w:val="0"/>
                <w:i w:val="0"/>
                <w:color w:val="000000"/>
                <w:sz w:val="16"/>
              </w:rPr>
              <w:t>Approved</w:t>
            </w:r>
          </w:p>
        </w:tc>
        <w:tc>
          <w:tcPr>
            <w:tcW w:type="dxa" w:w="5760"/>
            <w:shd w:fill="F8FAFC"/>
            <w:vAlign w:val="center"/>
          </w:tcPr>
          <w:p>
            <w:pPr>
              <w:spacing w:after="0" w:line="240" w:lineRule="auto"/>
            </w:pPr>
            <w:r>
              <w:rPr>
                <w:rFonts w:ascii="Aptos" w:hAnsi="Aptos"/>
                <w:b w:val="0"/>
                <w:i w:val="0"/>
                <w:color w:val="000000"/>
                <w:sz w:val="16"/>
              </w:rPr>
              <w:t>Rewritten as a concise, step-based procedure; removed temporary rollout wording, duplicate annual approval records and unnecessary jargon.</w:t>
            </w:r>
          </w:p>
        </w:tc>
      </w:tr>
      <w:tr>
        <w:trPr>
          <w:cantSplit/>
        </w:trPr>
        <w:tc>
          <w:tcPr>
            <w:tcW w:type="dxa" w:w="936"/>
            <w:vAlign w:val="center"/>
          </w:tcPr>
          <w:p>
            <w:pPr>
              <w:spacing w:after="0" w:line="240" w:lineRule="auto"/>
            </w:pPr>
            <w:r>
              <w:rPr>
                <w:rFonts w:ascii="Aptos" w:hAnsi="Aptos"/>
                <w:b w:val="0"/>
                <w:i w:val="0"/>
                <w:color w:val="000000"/>
                <w:sz w:val="16"/>
              </w:rPr>
              <w:t>1.6</w:t>
            </w:r>
          </w:p>
        </w:tc>
        <w:tc>
          <w:tcPr>
            <w:tcW w:type="dxa" w:w="1728"/>
            <w:vAlign w:val="center"/>
          </w:tcPr>
          <w:p>
            <w:pPr>
              <w:spacing w:after="0" w:line="240" w:lineRule="auto"/>
            </w:pPr>
            <w:r>
              <w:rPr>
                <w:rFonts w:ascii="Aptos" w:hAnsi="Aptos"/>
                <w:b w:val="0"/>
                <w:i w:val="0"/>
                <w:color w:val="000000"/>
                <w:sz w:val="16"/>
              </w:rPr>
              <w:t>31 August 2026</w:t>
            </w:r>
          </w:p>
        </w:tc>
        <w:tc>
          <w:tcPr>
            <w:tcW w:type="dxa" w:w="1296"/>
            <w:vAlign w:val="center"/>
          </w:tcPr>
          <w:p>
            <w:pPr>
              <w:spacing w:after="0" w:line="240" w:lineRule="auto"/>
            </w:pPr>
            <w:r>
              <w:rPr>
                <w:rFonts w:ascii="Aptos" w:hAnsi="Aptos"/>
                <w:b w:val="0"/>
                <w:i w:val="0"/>
                <w:color w:val="000000"/>
                <w:sz w:val="16"/>
              </w:rPr>
              <w:t>Approved</w:t>
            </w:r>
          </w:p>
        </w:tc>
        <w:tc>
          <w:tcPr>
            <w:tcW w:type="dxa" w:w="5760"/>
            <w:vAlign w:val="center"/>
          </w:tcPr>
          <w:p>
            <w:pPr>
              <w:spacing w:after="0" w:line="240" w:lineRule="auto"/>
            </w:pPr>
            <w:r>
              <w:rPr>
                <w:rFonts w:ascii="Aptos" w:hAnsi="Aptos"/>
                <w:b w:val="0"/>
                <w:i w:val="0"/>
                <w:color w:val="000000"/>
                <w:sz w:val="16"/>
              </w:rPr>
              <w:t>Removed duplicated eligibility, scoring, tie-break, award-limit and appeal rules; retained administration steps only.</w:t>
            </w:r>
          </w:p>
        </w:tc>
      </w:tr>
    </w:tbl>
    <w:sectPr w:rsidR="00FC693F" w:rsidRPr="0006063C" w:rsidSect="00034616">
      <w:headerReference w:type="default" r:id="rId9"/>
      <w:footerReference w:type="default" r:id="rId10"/>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4"/>
      </w:rPr>
      <w:t xml:space="preserve">EDPL INTERNAL  •  SOP v1.6  •  PAGE </w:t>
    </w:r>
    <w:r>
      <w:fldChar w:fldCharType="begin"/>
      <w:instrText xml:space="preserve">PAGE</w:instrText>
      <w:fldChar w:fldCharType="end"/>
    </w:r>
    <w:r>
      <w:rPr>
        <w:rFonts w:ascii="Aptos" w:hAnsi="Aptos"/>
        <w:b w:val="0"/>
        <w:i w:val="0"/>
        <w:color w:val="666666"/>
        <w:sz w:val="14"/>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6666"/>
        <w:sz w:val="14"/>
      </w:rPr>
      <w:t>EDRILL FAMILY BURSARY  |  ADMINISTRATION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2F75B5"/>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40" w:line="240"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Heading">
    <w:name w:val="Step Heading"/>
    <w:pPr>
      <w:spacing w:before="100" w:after="2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EDrill Family Bursary Administration Procedure</dc:title>
  <dc:subject>Approved annual administration procedure</dc:subject>
  <dc:creator>Energy Drilling Pte. Ltd.</dc:creator>
  <cp:keywords>EDrill, Family Bursary, SOP, Thailand</cp:keywords>
  <dc:description>Version 1.6 — approved</dc:description>
  <cp:lastModifiedBy/>
  <cp:revision>1</cp:revision>
  <dcterms:created xsi:type="dcterms:W3CDTF">2013-12-23T23:15:00Z</dcterms:created>
  <dcterms:modified xsi:type="dcterms:W3CDTF">2013-12-23T23:15:00Z</dcterms:modified>
  <cp:category/>
</cp:coreProperties>
</file>