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17365D"/>
          <w:sz w:val="44"/>
        </w:rPr>
        <w:t>EDRILL FAMILY BURSARY</w:t>
      </w:r>
    </w:p>
    <w:p>
      <w:pPr>
        <w:spacing w:before="200"/>
        <w:jc w:val="center"/>
      </w:pPr>
      <w:r>
        <w:rPr>
          <w:rFonts w:ascii="Arial" w:hAnsi="Arial"/>
          <w:b/>
          <w:color w:val="2F75B5"/>
          <w:sz w:val="36"/>
        </w:rPr>
        <w:t>Charter</w:t>
      </w:r>
    </w:p>
    <w:p>
      <w:pPr>
        <w:spacing w:before="360"/>
        <w:jc w:val="center"/>
      </w:pPr>
      <w:r>
        <w:rPr>
          <w:rFonts w:ascii="Arial" w:hAnsi="Arial"/>
          <w:color w:val="666666"/>
          <w:sz w:val="20"/>
        </w:rPr>
        <w:t>Version 1.5  |  Approved</w:t>
        <w:br/>
        <w:t>Thailand operations  |  Effective 1 October 2026</w:t>
      </w:r>
    </w:p>
    <w:tbl>
      <w:tblPr>
        <w:tblW w:type="auto" w:w="0"/>
        <w:jc w:val="center"/>
        <w:tblLayout w:type="fixed"/>
        <w:tblLook w:firstColumn="1" w:firstRow="1" w:lastColumn="0" w:lastRow="0" w:noHBand="0" w:noVBand="1" w:val="04A0"/>
      </w:tblPr>
      <w:tblGrid>
        <w:gridCol w:w="2880"/>
        <w:gridCol w:w="5904"/>
      </w:tblGrid>
      <w:tr>
        <w:trPr>
          <w:cantSplit/>
        </w:trPr>
        <w:tc>
          <w:tcPr>
            <w:tcW w:type="dxa" w:w="5083"/>
            <w:tcMar>
              <w:top w:w="80" w:type="dxa"/>
              <w:start w:w="100" w:type="dxa"/>
              <w:bottom w:w="80" w:type="dxa"/>
              <w:end w:w="100" w:type="dxa"/>
            </w:tcMar>
            <w:vAlign w:val="center"/>
            <w:shd w:fill="D9EAF7"/>
          </w:tcPr>
          <w:p>
            <w:r>
              <w:rPr>
                <w:b/>
              </w:rPr>
              <w:t>Document owner</w:t>
            </w:r>
          </w:p>
        </w:tc>
        <w:tc>
          <w:tcPr>
            <w:tcW w:type="dxa" w:w="5083"/>
            <w:tcMar>
              <w:top w:w="80" w:type="dxa"/>
              <w:start w:w="100" w:type="dxa"/>
              <w:bottom w:w="80" w:type="dxa"/>
              <w:end w:w="100" w:type="dxa"/>
            </w:tcMar>
            <w:vAlign w:val="center"/>
          </w:tcPr>
          <w:p>
            <w:r>
              <w:t>Bursary Committee Chairman</w:t>
            </w:r>
          </w:p>
        </w:tc>
      </w:tr>
      <w:tr>
        <w:trPr>
          <w:cantSplit/>
        </w:trPr>
        <w:tc>
          <w:tcPr>
            <w:tcW w:type="dxa" w:w="5083"/>
            <w:tcMar>
              <w:top w:w="80" w:type="dxa"/>
              <w:start w:w="100" w:type="dxa"/>
              <w:bottom w:w="80" w:type="dxa"/>
              <w:end w:w="100" w:type="dxa"/>
            </w:tcMar>
            <w:vAlign w:val="center"/>
            <w:shd w:fill="D9EAF7"/>
          </w:tcPr>
          <w:p>
            <w:r>
              <w:rPr>
                <w:b/>
              </w:rPr>
              <w:t>Administrator</w:t>
            </w:r>
          </w:p>
        </w:tc>
        <w:tc>
          <w:tcPr>
            <w:tcW w:type="dxa" w:w="5083"/>
            <w:tcMar>
              <w:top w:w="80" w:type="dxa"/>
              <w:start w:w="100" w:type="dxa"/>
              <w:bottom w:w="80" w:type="dxa"/>
              <w:end w:w="100" w:type="dxa"/>
            </w:tcMar>
            <w:vAlign w:val="center"/>
          </w:tcPr>
          <w:p>
            <w:r>
              <w:t>Bangkok Office / Bursary Administrator</w:t>
            </w:r>
          </w:p>
        </w:tc>
      </w:tr>
      <w:tr>
        <w:trPr>
          <w:cantSplit/>
        </w:trPr>
        <w:tc>
          <w:tcPr>
            <w:tcW w:type="dxa" w:w="5083"/>
            <w:tcMar>
              <w:top w:w="80" w:type="dxa"/>
              <w:start w:w="100" w:type="dxa"/>
              <w:bottom w:w="80" w:type="dxa"/>
              <w:end w:w="100" w:type="dxa"/>
            </w:tcMar>
            <w:vAlign w:val="center"/>
            <w:shd w:fill="D9EAF7"/>
          </w:tcPr>
          <w:p>
            <w:r>
              <w:rPr>
                <w:b/>
              </w:rPr>
              <w:t>Approval authority</w:t>
            </w:r>
          </w:p>
        </w:tc>
        <w:tc>
          <w:tcPr>
            <w:tcW w:type="dxa" w:w="5083"/>
            <w:tcMar>
              <w:top w:w="80" w:type="dxa"/>
              <w:start w:w="100" w:type="dxa"/>
              <w:bottom w:w="80" w:type="dxa"/>
              <w:end w:w="100" w:type="dxa"/>
            </w:tcMar>
            <w:vAlign w:val="center"/>
          </w:tcPr>
          <w:p>
            <w:r>
              <w:t>Executive Sponsor and Bursary Committee</w:t>
            </w:r>
          </w:p>
        </w:tc>
      </w:tr>
    </w:tbl>
    <w:p/>
    <w:tbl>
      <w:tblPr>
        <w:tblW w:type="auto" w:w="0"/>
        <w:jc w:val="center"/>
        <w:tblLook w:firstColumn="1" w:firstRow="1" w:lastColumn="0" w:lastRow="0" w:noHBand="0" w:noVBand="1" w:val="04A0"/>
      </w:tblPr>
      <w:tblGrid>
        <w:gridCol w:w="10166"/>
      </w:tblGrid>
      <w:tr>
        <w:tc>
          <w:tcPr>
            <w:tcW w:type="dxa" w:w="10166"/>
            <w:shd w:fill="EEF4F8"/>
            <w:tcMar>
              <w:top w:w="130" w:type="dxa"/>
              <w:start w:w="150" w:type="dxa"/>
              <w:bottom w:w="130" w:type="dxa"/>
              <w:end w:w="150" w:type="dxa"/>
            </w:tcMar>
          </w:tcPr>
          <w:p>
            <w:pPr>
              <w:jc w:val="center"/>
            </w:pPr>
            <w:r>
              <w:rPr>
                <w:b/>
                <w:color w:val="17365D"/>
              </w:rPr>
              <w:t>STATUS  This document applies to each Award Year after the Executive Sponsor approves the Annual Planning Note.</w:t>
            </w:r>
          </w:p>
        </w:tc>
      </w:tr>
    </w:tbl>
    <w:p>
      <w:r>
        <w:br w:type="page"/>
      </w:r>
    </w:p>
    <w:p>
      <w:pPr>
        <w:pStyle w:val="Heading1"/>
      </w:pPr>
      <w:r>
        <w:t>1. Purpose</w:t>
      </w:r>
    </w:p>
    <w:p>
      <w:r>
        <w:t>The EDrill Family Bursary provides discretionary education support for eligible children of people working in support of EDrill's Thailand rig operations. This Charter establishes the authority, scope, funding and governance of the Bursary.</w:t>
      </w:r>
    </w:p>
    <w:p>
      <w:pPr>
        <w:pStyle w:val="Heading1"/>
      </w:pPr>
      <w:r>
        <w:t>2. Nature of the Bursary</w:t>
      </w:r>
    </w:p>
    <w:p>
      <w:r>
        <w:t>The Bursary is an internal employee-welfare initiative funded by Energy Drilling Pte. Ltd. (EDPL). It is not a contractual entitlement, guaranteed benefit, charity, foundation, registered society, public fund or donation-funded programme.</w:t>
      </w:r>
    </w:p>
    <w:p>
      <w:r>
        <w:t>EDPL may amend, suspend or discontinue the Bursary, subject to applicable law and the approvals required by this Charter. Any award already approved must be managed under its award conditions and the governing documents.</w:t>
      </w:r>
    </w:p>
    <w:p>
      <w:pPr>
        <w:pStyle w:val="Heading1"/>
      </w:pPr>
      <w:r>
        <w:t>3. Scope</w:t>
      </w:r>
    </w:p>
    <w:p>
      <w:r>
        <w:t>The Bursary applies to eligible EDrill employees and eligible employees of approved labour-hire agencies assigned to EDrill rigs in Thailand. Extension to another country, participant group or funding model requires formal approval and amendment of the governing documents before implementation.</w:t>
      </w:r>
    </w:p>
    <w:p>
      <w:r>
        <w:t>Each Award Year is a 12-month period approved by the Executive Sponsor and recorded in the Annual Planning Note.</w:t>
      </w:r>
    </w:p>
    <w:p>
      <w:pPr>
        <w:pStyle w:val="Heading1"/>
      </w:pPr>
      <w:r>
        <w:t>4. Funding and award limits</w:t>
      </w:r>
    </w:p>
    <w:p>
      <w:r>
        <w:t>EDPL funds the Bursary from an annual budget approved by the Executive Sponsor and Finance before applications open. The budget must identify the number of awards, allocation between participant groups where applicable, and the approved financial arrangements.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760"/>
            <w:shd w:fill="17365D"/>
            <w:tcMar>
              <w:top w:w="80" w:type="dxa"/>
              <w:start w:w="100" w:type="dxa"/>
              <w:bottom w:w="80" w:type="dxa"/>
              <w:end w:w="100" w:type="dxa"/>
            </w:tcMar>
          </w:tcPr>
          <w:p>
            <w:r>
              <w:rPr>
                <w:b/>
                <w:color w:val="FFFFFF"/>
                <w:sz w:val="16"/>
              </w:rPr>
              <w:t>Recipient group</w:t>
            </w:r>
          </w:p>
        </w:tc>
        <w:tc>
          <w:tcPr>
            <w:tcW w:type="dxa" w:w="3960"/>
            <w:shd w:fill="17365D"/>
            <w:tcMar>
              <w:top w:w="80" w:type="dxa"/>
              <w:start w:w="100" w:type="dxa"/>
              <w:bottom w:w="80" w:type="dxa"/>
              <w:end w:w="100" w:type="dxa"/>
            </w:tcMar>
          </w:tcPr>
          <w:p>
            <w:r>
              <w:rPr>
                <w:b/>
                <w:color w:val="FFFFFF"/>
                <w:sz w:val="16"/>
              </w:rPr>
              <w:t>Maximum award</w:t>
            </w:r>
          </w:p>
        </w:tc>
      </w:tr>
      <w:tr>
        <w:trPr>
          <w:cantSplit/>
        </w:trPr>
        <w:tc>
          <w:tcPr>
            <w:tcW w:type="dxa" w:w="5760"/>
            <w:tcMar>
              <w:top w:w="80" w:type="dxa"/>
              <w:start w:w="100" w:type="dxa"/>
              <w:bottom w:w="80" w:type="dxa"/>
              <w:end w:w="100" w:type="dxa"/>
            </w:tcMar>
            <w:vAlign w:val="center"/>
          </w:tcPr>
          <w:p>
            <w:pPr>
              <w:spacing w:after="0"/>
            </w:pPr>
            <w:r>
              <w:rPr>
                <w:sz w:val="16"/>
              </w:rPr>
              <w:t>Eligible EDrill employee child</w:t>
            </w:r>
          </w:p>
        </w:tc>
        <w:tc>
          <w:tcPr>
            <w:tcW w:type="dxa" w:w="3960"/>
            <w:tcMar>
              <w:top w:w="80" w:type="dxa"/>
              <w:start w:w="100" w:type="dxa"/>
              <w:bottom w:w="80" w:type="dxa"/>
              <w:end w:w="100" w:type="dxa"/>
            </w:tcMar>
            <w:vAlign w:val="center"/>
          </w:tcPr>
          <w:p>
            <w:pPr>
              <w:spacing w:after="0"/>
            </w:pPr>
            <w:r>
              <w:rPr>
                <w:sz w:val="16"/>
              </w:rPr>
              <w:t>THB 120,000 per Award Year</w:t>
            </w:r>
          </w:p>
        </w:tc>
      </w:tr>
      <w:tr>
        <w:trPr>
          <w:cantSplit/>
        </w:trPr>
        <w:tc>
          <w:tcPr>
            <w:tcW w:type="dxa" w:w="5760"/>
            <w:tcMar>
              <w:top w:w="80" w:type="dxa"/>
              <w:start w:w="100" w:type="dxa"/>
              <w:bottom w:w="80" w:type="dxa"/>
              <w:end w:w="100" w:type="dxa"/>
            </w:tcMar>
            <w:vAlign w:val="center"/>
          </w:tcPr>
          <w:p>
            <w:pPr>
              <w:spacing w:after="0"/>
            </w:pPr>
            <w:r>
              <w:rPr>
                <w:sz w:val="16"/>
              </w:rPr>
              <w:t>Eligible labour-hire employee child</w:t>
            </w:r>
          </w:p>
        </w:tc>
        <w:tc>
          <w:tcPr>
            <w:tcW w:type="dxa" w:w="3960"/>
            <w:tcMar>
              <w:top w:w="80" w:type="dxa"/>
              <w:start w:w="100" w:type="dxa"/>
              <w:bottom w:w="80" w:type="dxa"/>
              <w:end w:w="100" w:type="dxa"/>
            </w:tcMar>
            <w:vAlign w:val="center"/>
          </w:tcPr>
          <w:p>
            <w:pPr>
              <w:spacing w:after="0"/>
            </w:pPr>
            <w:r>
              <w:rPr>
                <w:sz w:val="16"/>
              </w:rPr>
              <w:t>THB 8,000 per month, up to THB 96,000 per Award Year</w:t>
            </w:r>
          </w:p>
        </w:tc>
      </w:tr>
    </w:tbl>
    <w:p>
      <w:r>
        <w:t>Up to six awards may be approved in each Award Year. Each child is considered separately, and more than one child from the same family may receive an award. Increasing the number of awards or either maximum value requires written approval from the Executive Sponsor before award decisions are made.</w:t>
      </w:r>
    </w:p>
    <w:p>
      <w:pPr>
        <w:pStyle w:val="Heading1"/>
      </w:pPr>
      <w:r>
        <w:t>5. Governance</w:t>
      </w:r>
    </w:p>
    <w:p>
      <w:r>
        <w:t>The Executive Sponsor appoints the Bursary Committee and Administrator for each Award Year. The Committee operates under approved Terms of Reference.</w:t>
      </w:r>
    </w:p>
    <w:p>
      <w:pPr>
        <w:pStyle w:val="ListBullet"/>
      </w:pPr>
      <w:r>
        <w:t>The Committee assesses eligible applications and recommends the recipients and award amounts.</w:t>
      </w:r>
    </w:p>
    <w:p>
      <w:pPr>
        <w:pStyle w:val="ListBullet"/>
      </w:pPr>
      <w:r>
        <w:t>The Executive Sponsor approves the Annual Planning Note, annual budget, final award list and any exception reserved to that role.</w:t>
      </w:r>
    </w:p>
    <w:p>
      <w:pPr>
        <w:pStyle w:val="ListBullet"/>
      </w:pPr>
      <w:r>
        <w:t>Finance confirms the approved budget and financial arrangements and controls the release of payments.</w:t>
      </w:r>
    </w:p>
    <w:p>
      <w:pPr>
        <w:pStyle w:val="ListBullet"/>
      </w:pPr>
      <w:r>
        <w:t>Committee members and reviewers must declare conflicts of interest and protect confidential information.</w:t>
      </w:r>
    </w:p>
    <w:p>
      <w:pPr>
        <w:pStyle w:val="ListBullet"/>
      </w:pPr>
      <w:r>
        <w:t>A person with a conflict must not take part in the affected assessment, recommendation, approval or appeal.</w:t>
      </w:r>
    </w:p>
    <w:p>
      <w:pPr>
        <w:pStyle w:val="ListBullet"/>
      </w:pPr>
      <w:r>
        <w:t>Any delegation of authority must be written, limited to a stated period and recorded.</w:t>
      </w:r>
    </w:p>
    <w:p>
      <w:pPr>
        <w:pStyle w:val="Heading1"/>
      </w:pPr>
      <w:r>
        <w:t>6. Governing documents</w:t>
      </w:r>
    </w:p>
    <w:p>
      <w:r>
        <w:t>Applicable law prevails. Subject to that law, the documents have the following roles: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456"/>
            <w:shd w:fill="17365D"/>
            <w:tcMar>
              <w:top w:w="80" w:type="dxa"/>
              <w:start w:w="100" w:type="dxa"/>
              <w:bottom w:w="80" w:type="dxa"/>
              <w:end w:w="100" w:type="dxa"/>
            </w:tcMar>
          </w:tcPr>
          <w:p>
            <w:r>
              <w:rPr>
                <w:b/>
                <w:color w:val="FFFFFF"/>
                <w:sz w:val="16"/>
              </w:rPr>
              <w:t>Document</w:t>
            </w:r>
          </w:p>
        </w:tc>
        <w:tc>
          <w:tcPr>
            <w:tcW w:type="dxa" w:w="6264"/>
            <w:shd w:fill="17365D"/>
            <w:tcMar>
              <w:top w:w="80" w:type="dxa"/>
              <w:start w:w="100" w:type="dxa"/>
              <w:bottom w:w="80" w:type="dxa"/>
              <w:end w:w="100" w:type="dxa"/>
            </w:tcMar>
          </w:tcPr>
          <w:p>
            <w:r>
              <w:rPr>
                <w:b/>
                <w:color w:val="FFFFFF"/>
                <w:sz w:val="16"/>
              </w:rPr>
              <w:t>Authority</w:t>
            </w:r>
          </w:p>
        </w:tc>
      </w:tr>
      <w:tr>
        <w:trPr>
          <w:cantSplit/>
        </w:trPr>
        <w:tc>
          <w:tcPr>
            <w:tcW w:type="dxa" w:w="3456"/>
            <w:tcMar>
              <w:top w:w="80" w:type="dxa"/>
              <w:start w:w="100" w:type="dxa"/>
              <w:bottom w:w="80" w:type="dxa"/>
              <w:end w:w="100" w:type="dxa"/>
            </w:tcMar>
            <w:vAlign w:val="center"/>
          </w:tcPr>
          <w:p>
            <w:pPr>
              <w:spacing w:after="0"/>
            </w:pPr>
            <w:r>
              <w:rPr>
                <w:sz w:val="16"/>
              </w:rPr>
              <w:t>This Charter</w:t>
            </w:r>
          </w:p>
        </w:tc>
        <w:tc>
          <w:tcPr>
            <w:tcW w:type="dxa" w:w="6264"/>
            <w:tcMar>
              <w:top w:w="80" w:type="dxa"/>
              <w:start w:w="100" w:type="dxa"/>
              <w:bottom w:w="80" w:type="dxa"/>
              <w:end w:w="100" w:type="dxa"/>
            </w:tcMar>
            <w:vAlign w:val="center"/>
          </w:tcPr>
          <w:p>
            <w:pPr>
              <w:spacing w:after="0"/>
            </w:pPr>
            <w:r>
              <w:rPr>
                <w:sz w:val="16"/>
              </w:rPr>
              <w:t>Purpose, scope, funding, award limits and governance authority.</w:t>
            </w:r>
          </w:p>
        </w:tc>
      </w:tr>
      <w:tr>
        <w:trPr>
          <w:cantSplit/>
        </w:trPr>
        <w:tc>
          <w:tcPr>
            <w:tcW w:type="dxa" w:w="3456"/>
            <w:tcMar>
              <w:top w:w="80" w:type="dxa"/>
              <w:start w:w="100" w:type="dxa"/>
              <w:bottom w:w="80" w:type="dxa"/>
              <w:end w:w="100" w:type="dxa"/>
            </w:tcMar>
            <w:vAlign w:val="center"/>
          </w:tcPr>
          <w:p>
            <w:pPr>
              <w:spacing w:after="0"/>
            </w:pPr>
            <w:r>
              <w:rPr>
                <w:sz w:val="16"/>
              </w:rPr>
              <w:t>Eligibility and Selection Rules</w:t>
            </w:r>
          </w:p>
        </w:tc>
        <w:tc>
          <w:tcPr>
            <w:tcW w:type="dxa" w:w="6264"/>
            <w:tcMar>
              <w:top w:w="80" w:type="dxa"/>
              <w:start w:w="100" w:type="dxa"/>
              <w:bottom w:w="80" w:type="dxa"/>
              <w:end w:w="100" w:type="dxa"/>
            </w:tcMar>
            <w:vAlign w:val="center"/>
          </w:tcPr>
          <w:p>
            <w:pPr>
              <w:spacing w:after="0"/>
            </w:pPr>
            <w:r>
              <w:rPr>
                <w:sz w:val="16"/>
              </w:rPr>
              <w:t>Eligibility requirements, scoring, ranking, tie-breakers and appeal grounds.</w:t>
            </w:r>
          </w:p>
        </w:tc>
      </w:tr>
      <w:tr>
        <w:trPr>
          <w:cantSplit/>
        </w:trPr>
        <w:tc>
          <w:tcPr>
            <w:tcW w:type="dxa" w:w="3456"/>
            <w:tcMar>
              <w:top w:w="80" w:type="dxa"/>
              <w:start w:w="100" w:type="dxa"/>
              <w:bottom w:w="80" w:type="dxa"/>
              <w:end w:w="100" w:type="dxa"/>
            </w:tcMar>
            <w:vAlign w:val="center"/>
          </w:tcPr>
          <w:p>
            <w:pPr>
              <w:spacing w:after="0"/>
            </w:pPr>
            <w:r>
              <w:rPr>
                <w:sz w:val="16"/>
              </w:rPr>
              <w:t>Administration Procedure</w:t>
            </w:r>
          </w:p>
        </w:tc>
        <w:tc>
          <w:tcPr>
            <w:tcW w:type="dxa" w:w="6264"/>
            <w:tcMar>
              <w:top w:w="80" w:type="dxa"/>
              <w:start w:w="100" w:type="dxa"/>
              <w:bottom w:w="80" w:type="dxa"/>
              <w:end w:w="100" w:type="dxa"/>
            </w:tcMar>
            <w:vAlign w:val="center"/>
          </w:tcPr>
          <w:p>
            <w:pPr>
              <w:spacing w:after="0"/>
            </w:pPr>
            <w:r>
              <w:rPr>
                <w:sz w:val="16"/>
              </w:rPr>
              <w:t>Responsibilities, deadlines, workflow, approvals, notifications and records.</w:t>
            </w:r>
          </w:p>
        </w:tc>
      </w:tr>
      <w:tr>
        <w:trPr>
          <w:cantSplit/>
        </w:trPr>
        <w:tc>
          <w:tcPr>
            <w:tcW w:type="dxa" w:w="3456"/>
            <w:tcMar>
              <w:top w:w="80" w:type="dxa"/>
              <w:start w:w="100" w:type="dxa"/>
              <w:bottom w:w="80" w:type="dxa"/>
              <w:end w:w="100" w:type="dxa"/>
            </w:tcMar>
            <w:vAlign w:val="center"/>
          </w:tcPr>
          <w:p>
            <w:pPr>
              <w:spacing w:after="0"/>
            </w:pPr>
            <w:r>
              <w:rPr>
                <w:sz w:val="16"/>
              </w:rPr>
              <w:t>Payment and Evidence Rules</w:t>
            </w:r>
          </w:p>
        </w:tc>
        <w:tc>
          <w:tcPr>
            <w:tcW w:type="dxa" w:w="6264"/>
            <w:tcMar>
              <w:top w:w="80" w:type="dxa"/>
              <w:start w:w="100" w:type="dxa"/>
              <w:bottom w:w="80" w:type="dxa"/>
              <w:end w:w="100" w:type="dxa"/>
            </w:tcMar>
            <w:vAlign w:val="center"/>
          </w:tcPr>
          <w:p>
            <w:pPr>
              <w:spacing w:after="0"/>
            </w:pPr>
            <w:r>
              <w:rPr>
                <w:sz w:val="16"/>
              </w:rPr>
              <w:t>Eligible costs, evidence, payment, tax, agency payment and recovery.</w:t>
            </w:r>
          </w:p>
        </w:tc>
      </w:tr>
      <w:tr>
        <w:trPr>
          <w:cantSplit/>
        </w:trPr>
        <w:tc>
          <w:tcPr>
            <w:tcW w:type="dxa" w:w="3456"/>
            <w:tcMar>
              <w:top w:w="80" w:type="dxa"/>
              <w:start w:w="100" w:type="dxa"/>
              <w:bottom w:w="80" w:type="dxa"/>
              <w:end w:w="100" w:type="dxa"/>
            </w:tcMar>
            <w:vAlign w:val="center"/>
          </w:tcPr>
          <w:p>
            <w:pPr>
              <w:spacing w:after="0"/>
            </w:pPr>
            <w:r>
              <w:rPr>
                <w:sz w:val="16"/>
              </w:rPr>
              <w:t>Committee Terms of Reference</w:t>
            </w:r>
          </w:p>
        </w:tc>
        <w:tc>
          <w:tcPr>
            <w:tcW w:type="dxa" w:w="6264"/>
            <w:tcMar>
              <w:top w:w="80" w:type="dxa"/>
              <w:start w:w="100" w:type="dxa"/>
              <w:bottom w:w="80" w:type="dxa"/>
              <w:end w:w="100" w:type="dxa"/>
            </w:tcMar>
            <w:vAlign w:val="center"/>
          </w:tcPr>
          <w:p>
            <w:pPr>
              <w:spacing w:after="0"/>
            </w:pPr>
            <w:r>
              <w:rPr>
                <w:sz w:val="16"/>
              </w:rPr>
              <w:t>Committee membership, quorum, voting, conflicts and delegation.</w:t>
            </w:r>
          </w:p>
        </w:tc>
      </w:tr>
      <w:tr>
        <w:trPr>
          <w:cantSplit/>
        </w:trPr>
        <w:tc>
          <w:tcPr>
            <w:tcW w:type="dxa" w:w="3456"/>
            <w:tcMar>
              <w:top w:w="80" w:type="dxa"/>
              <w:start w:w="100" w:type="dxa"/>
              <w:bottom w:w="80" w:type="dxa"/>
              <w:end w:w="100" w:type="dxa"/>
            </w:tcMar>
            <w:vAlign w:val="center"/>
          </w:tcPr>
          <w:p>
            <w:pPr>
              <w:spacing w:after="0"/>
            </w:pPr>
            <w:r>
              <w:rPr>
                <w:sz w:val="16"/>
              </w:rPr>
              <w:t>Privacy Notice and Records Schedule</w:t>
            </w:r>
          </w:p>
        </w:tc>
        <w:tc>
          <w:tcPr>
            <w:tcW w:type="dxa" w:w="6264"/>
            <w:tcMar>
              <w:top w:w="80" w:type="dxa"/>
              <w:start w:w="100" w:type="dxa"/>
              <w:bottom w:w="80" w:type="dxa"/>
              <w:end w:w="100" w:type="dxa"/>
            </w:tcMar>
            <w:vAlign w:val="center"/>
          </w:tcPr>
          <w:p>
            <w:pPr>
              <w:spacing w:after="0"/>
            </w:pPr>
            <w:r>
              <w:rPr>
                <w:sz w:val="16"/>
              </w:rPr>
              <w:t>Use, access, sharing, retention and deletion of personal information.</w:t>
            </w:r>
          </w:p>
        </w:tc>
      </w:tr>
    </w:tbl>
    <w:p>
      <w:r>
        <w:t>Approved forms and communications must follow these documents and must not change them. Any conflict must be resolved and recorded before the affected application, decision or payment continues.</w:t>
      </w:r>
    </w:p>
    <w:p>
      <w:pPr>
        <w:pStyle w:val="Heading1"/>
      </w:pPr>
      <w:r>
        <w:t>7. Annual authority</w:t>
      </w:r>
    </w:p>
    <w:p>
      <w:r>
        <w:t>Applications may open only after the Executive Sponsor approves the Annual Planning Note. The Note must confirm the Award Year, budget, available awards, appointed roles, approved documents, application arrangements and payment arrangements.</w:t>
      </w:r>
    </w:p>
    <w:p>
      <w:r>
        <w:t>Approval of an Annual Planning Note authorises that Award Year only. It does not amend this Charter or create an entitlement to future awards.</w:t>
      </w:r>
    </w:p>
    <w:p>
      <w:pPr>
        <w:pStyle w:val="Heading1"/>
      </w:pPr>
      <w:r>
        <w:t>8. Legal, privacy and integrity requirements</w:t>
      </w:r>
    </w:p>
    <w:p>
      <w:r>
        <w:t>The Bursary must be administered lawfully, fairly and consistently. Personal information must be limited to what is reasonably required and protected under the approved privacy and records arrangements. False or misleading information, conflicts of interest, fraud and suspected misuse must be addressed under applicable EDrill procedures and the governing documents.</w:t>
      </w:r>
    </w:p>
    <w:p>
      <w:r>
        <w:t>The Bursary must not solicit or accept public donations or employee contributions. Public fundraising or creation of a separate legal body requires a new legal, tax, accounting and governance review and formal approval before any action is taken.</w:t>
      </w:r>
    </w:p>
    <w:p>
      <w:pPr>
        <w:pStyle w:val="Heading1"/>
      </w:pPr>
      <w:r>
        <w:t>9. Annual review and amendments</w:t>
      </w:r>
    </w:p>
    <w:p>
      <w:r>
        <w:t>After each Award Year, the Committee reviews the annual report and recommends whether the Bursary should continue or change. The Executive Sponsor approves the next Award Year and any amendment to scope, funding, award limits or governance.</w:t>
      </w:r>
    </w:p>
    <w:p>
      <w:r>
        <w:t>Changes to eligibility, selection, administration, payment or privacy requirements must be made in the document responsible for that subject. This Charter should be amended only when its authority, scope, funding, award limits or governance changes.</w:t>
      </w:r>
    </w:p>
    <w:p>
      <w:pPr>
        <w:pStyle w:val="Heading1"/>
      </w:pPr>
      <w:r>
        <w:t>Approval</w:t>
      </w:r>
    </w:p>
    <w:p>
      <w:r>
        <w:t>Approval is recorded below. The approved Annual Planning Note separately authorises each Award Year.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7365D"/>
            <w:tcMar>
              <w:top w:w="80" w:type="dxa"/>
              <w:start w:w="100" w:type="dxa"/>
              <w:bottom w:w="80" w:type="dxa"/>
              <w:end w:w="100" w:type="dxa"/>
            </w:tcMar>
          </w:tcPr>
          <w:p>
            <w:r>
              <w:rPr>
                <w:b/>
                <w:color w:val="FFFFFF"/>
                <w:sz w:val="16"/>
              </w:rPr>
              <w:t>Approval role</w:t>
            </w:r>
          </w:p>
        </w:tc>
        <w:tc>
          <w:tcPr>
            <w:tcW w:type="dxa" w:w="5544"/>
            <w:shd w:fill="17365D"/>
            <w:tcMar>
              <w:top w:w="80" w:type="dxa"/>
              <w:start w:w="100" w:type="dxa"/>
              <w:bottom w:w="80" w:type="dxa"/>
              <w:end w:w="100" w:type="dxa"/>
            </w:tcMar>
          </w:tcPr>
          <w:p>
            <w:r>
              <w:rPr>
                <w:b/>
                <w:color w:val="FFFFFF"/>
                <w:sz w:val="16"/>
              </w:rPr>
              <w:t>Decision / signature</w:t>
            </w:r>
          </w:p>
        </w:tc>
        <w:tc>
          <w:tcPr>
            <w:tcW w:type="dxa" w:w="1800"/>
            <w:shd w:fill="17365D"/>
            <w:tcMar>
              <w:top w:w="80" w:type="dxa"/>
              <w:start w:w="100" w:type="dxa"/>
              <w:bottom w:w="80" w:type="dxa"/>
              <w:end w:w="100" w:type="dxa"/>
            </w:tcMar>
          </w:tcPr>
          <w:p>
            <w:r>
              <w:rPr>
                <w:b/>
                <w:color w:val="FFFFFF"/>
                <w:sz w:val="16"/>
              </w:rPr>
              <w:t>Date</w:t>
            </w:r>
          </w:p>
        </w:tc>
      </w:tr>
      <w:tr>
        <w:trPr>
          <w:cantSplit/>
        </w:trPr>
        <w:tc>
          <w:tcPr>
            <w:tcW w:type="dxa" w:w="2376"/>
            <w:tcMar>
              <w:top w:w="80" w:type="dxa"/>
              <w:start w:w="100" w:type="dxa"/>
              <w:bottom w:w="80" w:type="dxa"/>
              <w:end w:w="100" w:type="dxa"/>
            </w:tcMar>
            <w:vAlign w:val="center"/>
          </w:tcPr>
          <w:p>
            <w:pPr>
              <w:spacing w:after="0"/>
            </w:pPr>
            <w:r>
              <w:rPr>
                <w:sz w:val="16"/>
              </w:rPr>
              <w:t>Executive Sponsor</w:t>
            </w:r>
          </w:p>
        </w:tc>
        <w:tc>
          <w:tcPr>
            <w:tcW w:type="dxa" w:w="5544"/>
            <w:tcMar>
              <w:top w:w="80" w:type="dxa"/>
              <w:start w:w="100" w:type="dxa"/>
              <w:bottom w:w="80" w:type="dxa"/>
              <w:end w:w="100" w:type="dxa"/>
            </w:tcMar>
            <w:vAlign w:val="center"/>
          </w:tcPr>
          <w:p>
            <w:pPr>
              <w:spacing w:after="0"/>
            </w:pPr>
            <w:r>
              <w:rPr>
                <w:sz w:val="16"/>
              </w:rPr>
              <w:t>Approved</w:t>
            </w:r>
          </w:p>
        </w:tc>
        <w:tc>
          <w:tcPr>
            <w:tcW w:type="dxa" w:w="1800"/>
            <w:tcMar>
              <w:top w:w="80" w:type="dxa"/>
              <w:start w:w="100" w:type="dxa"/>
              <w:bottom w:w="80" w:type="dxa"/>
              <w:end w:w="100" w:type="dxa"/>
            </w:tcMar>
            <w:vAlign w:val="center"/>
          </w:tcPr>
          <w:p>
            <w:pPr>
              <w:spacing w:after="0"/>
            </w:pPr>
            <w:r>
              <w:rPr>
                <w:sz w:val="16"/>
              </w:rPr>
            </w:r>
          </w:p>
        </w:tc>
      </w:tr>
      <w:tr>
        <w:trPr>
          <w:cantSplit/>
        </w:trPr>
        <w:tc>
          <w:tcPr>
            <w:tcW w:type="dxa" w:w="2376"/>
            <w:tcMar>
              <w:top w:w="80" w:type="dxa"/>
              <w:start w:w="100" w:type="dxa"/>
              <w:bottom w:w="80" w:type="dxa"/>
              <w:end w:w="100" w:type="dxa"/>
            </w:tcMar>
            <w:vAlign w:val="center"/>
          </w:tcPr>
          <w:p>
            <w:pPr>
              <w:spacing w:after="0"/>
            </w:pPr>
            <w:r>
              <w:rPr>
                <w:sz w:val="16"/>
              </w:rPr>
              <w:t>Bursary Committee Chairman</w:t>
            </w:r>
          </w:p>
        </w:tc>
        <w:tc>
          <w:tcPr>
            <w:tcW w:type="dxa" w:w="5544"/>
            <w:tcMar>
              <w:top w:w="80" w:type="dxa"/>
              <w:start w:w="100" w:type="dxa"/>
              <w:bottom w:w="80" w:type="dxa"/>
              <w:end w:w="100" w:type="dxa"/>
            </w:tcMar>
            <w:vAlign w:val="center"/>
          </w:tcPr>
          <w:p>
            <w:pPr>
              <w:spacing w:after="0"/>
            </w:pPr>
            <w:r>
              <w:rPr>
                <w:sz w:val="16"/>
              </w:rPr>
              <w:t>Approved</w:t>
            </w:r>
          </w:p>
        </w:tc>
        <w:tc>
          <w:tcPr>
            <w:tcW w:type="dxa" w:w="1800"/>
            <w:tcMar>
              <w:top w:w="80" w:type="dxa"/>
              <w:start w:w="100" w:type="dxa"/>
              <w:bottom w:w="80" w:type="dxa"/>
              <w:end w:w="100" w:type="dxa"/>
            </w:tcMar>
            <w:vAlign w:val="center"/>
          </w:tcPr>
          <w:p>
            <w:pPr>
              <w:spacing w:after="0"/>
            </w:pPr>
            <w:r>
              <w:rPr>
                <w:sz w:val="16"/>
              </w:rPr>
            </w:r>
          </w:p>
        </w:tc>
      </w:tr>
      <w:tr>
        <w:trPr>
          <w:cantSplit/>
        </w:trPr>
        <w:tc>
          <w:tcPr>
            <w:tcW w:type="dxa" w:w="2376"/>
            <w:tcMar>
              <w:top w:w="80" w:type="dxa"/>
              <w:start w:w="100" w:type="dxa"/>
              <w:bottom w:w="80" w:type="dxa"/>
              <w:end w:w="100" w:type="dxa"/>
            </w:tcMar>
            <w:vAlign w:val="center"/>
          </w:tcPr>
          <w:p>
            <w:pPr>
              <w:spacing w:after="0"/>
            </w:pPr>
            <w:r>
              <w:rPr>
                <w:sz w:val="16"/>
              </w:rPr>
              <w:t>Finance / Payroll</w:t>
            </w:r>
          </w:p>
        </w:tc>
        <w:tc>
          <w:tcPr>
            <w:tcW w:type="dxa" w:w="5544"/>
            <w:tcMar>
              <w:top w:w="80" w:type="dxa"/>
              <w:start w:w="100" w:type="dxa"/>
              <w:bottom w:w="80" w:type="dxa"/>
              <w:end w:w="100" w:type="dxa"/>
            </w:tcMar>
            <w:vAlign w:val="center"/>
          </w:tcPr>
          <w:p>
            <w:pPr>
              <w:spacing w:after="0"/>
            </w:pPr>
            <w:r>
              <w:rPr>
                <w:sz w:val="16"/>
              </w:rPr>
              <w:t>Financial requirements confirmed</w:t>
            </w:r>
          </w:p>
        </w:tc>
        <w:tc>
          <w:tcPr>
            <w:tcW w:type="dxa" w:w="1800"/>
            <w:tcMar>
              <w:top w:w="80" w:type="dxa"/>
              <w:start w:w="100" w:type="dxa"/>
              <w:bottom w:w="80" w:type="dxa"/>
              <w:end w:w="100" w:type="dxa"/>
            </w:tcMar>
            <w:vAlign w:val="center"/>
          </w:tcPr>
          <w:p>
            <w:pPr>
              <w:spacing w:after="0"/>
            </w:pPr>
            <w:r>
              <w:rPr>
                <w:sz w:val="16"/>
              </w:rPr>
            </w:r>
          </w:p>
        </w:tc>
      </w:tr>
      <w:tr>
        <w:trPr>
          <w:cantSplit/>
        </w:trPr>
        <w:tc>
          <w:tcPr>
            <w:tcW w:type="dxa" w:w="2376"/>
            <w:tcMar>
              <w:top w:w="80" w:type="dxa"/>
              <w:start w:w="100" w:type="dxa"/>
              <w:bottom w:w="80" w:type="dxa"/>
              <w:end w:w="100" w:type="dxa"/>
            </w:tcMar>
            <w:vAlign w:val="center"/>
          </w:tcPr>
          <w:p>
            <w:pPr>
              <w:spacing w:after="0"/>
            </w:pPr>
            <w:r>
              <w:rPr>
                <w:sz w:val="16"/>
              </w:rPr>
              <w:t>HR / Administrator</w:t>
            </w:r>
          </w:p>
        </w:tc>
        <w:tc>
          <w:tcPr>
            <w:tcW w:type="dxa" w:w="5544"/>
            <w:tcMar>
              <w:top w:w="80" w:type="dxa"/>
              <w:start w:w="100" w:type="dxa"/>
              <w:bottom w:w="80" w:type="dxa"/>
              <w:end w:w="100" w:type="dxa"/>
            </w:tcMar>
            <w:vAlign w:val="center"/>
          </w:tcPr>
          <w:p>
            <w:pPr>
              <w:spacing w:after="0"/>
            </w:pPr>
            <w:r>
              <w:rPr>
                <w:sz w:val="16"/>
              </w:rPr>
              <w:t>Administration and records requirements confirmed</w:t>
            </w:r>
          </w:p>
        </w:tc>
        <w:tc>
          <w:tcPr>
            <w:tcW w:type="dxa" w:w="1800"/>
            <w:tcMar>
              <w:top w:w="80" w:type="dxa"/>
              <w:start w:w="100" w:type="dxa"/>
              <w:bottom w:w="80" w:type="dxa"/>
              <w:end w:w="100" w:type="dxa"/>
            </w:tcMar>
            <w:vAlign w:val="center"/>
          </w:tcPr>
          <w:p>
            <w:pPr>
              <w:spacing w:after="0"/>
            </w:pPr>
            <w:r>
              <w:rPr>
                <w:sz w:val="16"/>
              </w:rPr>
            </w:r>
          </w:p>
        </w:tc>
      </w:tr>
    </w:tbl>
    <w:p>
      <w:pPr>
        <w:pStyle w:val="Heading1"/>
      </w:pPr>
      <w:r>
        <w:t>Revision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08"/>
            <w:shd w:fill="17365D"/>
            <w:tcMar>
              <w:top w:w="80" w:type="dxa"/>
              <w:start w:w="100" w:type="dxa"/>
              <w:bottom w:w="80" w:type="dxa"/>
              <w:end w:w="100" w:type="dxa"/>
            </w:tcMar>
          </w:tcPr>
          <w:p>
            <w:r>
              <w:rPr>
                <w:b/>
                <w:color w:val="FFFFFF"/>
                <w:sz w:val="16"/>
              </w:rPr>
              <w:t>Version</w:t>
            </w:r>
          </w:p>
        </w:tc>
        <w:tc>
          <w:tcPr>
            <w:tcW w:type="dxa" w:w="1656"/>
            <w:shd w:fill="17365D"/>
            <w:tcMar>
              <w:top w:w="80" w:type="dxa"/>
              <w:start w:w="100" w:type="dxa"/>
              <w:bottom w:w="80" w:type="dxa"/>
              <w:end w:w="100" w:type="dxa"/>
            </w:tcMar>
          </w:tcPr>
          <w:p>
            <w:r>
              <w:rPr>
                <w:b/>
                <w:color w:val="FFFFFF"/>
                <w:sz w:val="16"/>
              </w:rPr>
              <w:t>Date</w:t>
            </w:r>
          </w:p>
        </w:tc>
        <w:tc>
          <w:tcPr>
            <w:tcW w:type="dxa" w:w="1440"/>
            <w:shd w:fill="17365D"/>
            <w:tcMar>
              <w:top w:w="80" w:type="dxa"/>
              <w:start w:w="100" w:type="dxa"/>
              <w:bottom w:w="80" w:type="dxa"/>
              <w:end w:w="100" w:type="dxa"/>
            </w:tcMar>
          </w:tcPr>
          <w:p>
            <w:r>
              <w:rPr>
                <w:b/>
                <w:color w:val="FFFFFF"/>
                <w:sz w:val="16"/>
              </w:rPr>
              <w:t>Status</w:t>
            </w:r>
          </w:p>
        </w:tc>
        <w:tc>
          <w:tcPr>
            <w:tcW w:type="dxa" w:w="5616"/>
            <w:shd w:fill="17365D"/>
            <w:tcMar>
              <w:top w:w="80" w:type="dxa"/>
              <w:start w:w="100" w:type="dxa"/>
              <w:bottom w:w="80" w:type="dxa"/>
              <w:end w:w="100" w:type="dxa"/>
            </w:tcMar>
          </w:tcPr>
          <w:p>
            <w:r>
              <w:rPr>
                <w:b/>
                <w:color w:val="FFFFFF"/>
                <w:sz w:val="16"/>
              </w:rPr>
              <w:t>Summary</w:t>
            </w:r>
          </w:p>
        </w:tc>
      </w:tr>
      <w:tr>
        <w:trPr>
          <w:cantSplit/>
        </w:trPr>
        <w:tc>
          <w:tcPr>
            <w:tcW w:type="dxa" w:w="1008"/>
            <w:tcMar>
              <w:top w:w="80" w:type="dxa"/>
              <w:start w:w="100" w:type="dxa"/>
              <w:bottom w:w="80" w:type="dxa"/>
              <w:end w:w="100" w:type="dxa"/>
            </w:tcMar>
            <w:vAlign w:val="center"/>
          </w:tcPr>
          <w:p>
            <w:pPr>
              <w:spacing w:after="0"/>
            </w:pPr>
            <w:r>
              <w:rPr>
                <w:sz w:val="16"/>
              </w:rPr>
              <w:t>0.1</w:t>
            </w:r>
          </w:p>
        </w:tc>
        <w:tc>
          <w:tcPr>
            <w:tcW w:type="dxa" w:w="1656"/>
            <w:tcMar>
              <w:top w:w="80" w:type="dxa"/>
              <w:start w:w="100" w:type="dxa"/>
              <w:bottom w:w="80" w:type="dxa"/>
              <w:end w:w="100" w:type="dxa"/>
            </w:tcMar>
            <w:vAlign w:val="center"/>
          </w:tcPr>
          <w:p>
            <w:pPr>
              <w:spacing w:after="0"/>
            </w:pPr>
            <w:r>
              <w:rPr>
                <w:sz w:val="16"/>
              </w:rPr>
              <w:t>June 2026</w:t>
            </w:r>
          </w:p>
        </w:tc>
        <w:tc>
          <w:tcPr>
            <w:tcW w:type="dxa" w:w="1440"/>
            <w:tcMar>
              <w:top w:w="80" w:type="dxa"/>
              <w:start w:w="100" w:type="dxa"/>
              <w:bottom w:w="80" w:type="dxa"/>
              <w:end w:w="100" w:type="dxa"/>
            </w:tcMar>
            <w:vAlign w:val="center"/>
          </w:tcPr>
          <w:p>
            <w:pPr>
              <w:spacing w:after="0"/>
            </w:pPr>
            <w:r>
              <w:rPr>
                <w:sz w:val="16"/>
              </w:rPr>
              <w:t>Draft</w:t>
            </w:r>
          </w:p>
        </w:tc>
        <w:tc>
          <w:tcPr>
            <w:tcW w:type="dxa" w:w="5616"/>
            <w:tcMar>
              <w:top w:w="80" w:type="dxa"/>
              <w:start w:w="100" w:type="dxa"/>
              <w:bottom w:w="80" w:type="dxa"/>
              <w:end w:w="100" w:type="dxa"/>
            </w:tcMar>
            <w:vAlign w:val="center"/>
          </w:tcPr>
          <w:p>
            <w:pPr>
              <w:spacing w:after="0"/>
            </w:pPr>
            <w:r>
              <w:rPr>
                <w:sz w:val="16"/>
              </w:rPr>
              <w:t>Initial Charter for review</w:t>
            </w:r>
          </w:p>
        </w:tc>
      </w:tr>
      <w:tr>
        <w:trPr>
          <w:cantSplit/>
        </w:trPr>
        <w:tc>
          <w:tcPr>
            <w:tcW w:type="dxa" w:w="1008"/>
            <w:tcMar>
              <w:top w:w="80" w:type="dxa"/>
              <w:start w:w="100" w:type="dxa"/>
              <w:bottom w:w="80" w:type="dxa"/>
              <w:end w:w="100" w:type="dxa"/>
            </w:tcMar>
            <w:vAlign w:val="center"/>
          </w:tcPr>
          <w:p>
            <w:pPr>
              <w:spacing w:after="0"/>
            </w:pPr>
            <w:r>
              <w:rPr>
                <w:sz w:val="16"/>
              </w:rPr>
              <w:t>1.2</w:t>
            </w:r>
          </w:p>
        </w:tc>
        <w:tc>
          <w:tcPr>
            <w:tcW w:type="dxa" w:w="1656"/>
            <w:tcMar>
              <w:top w:w="80" w:type="dxa"/>
              <w:start w:w="100" w:type="dxa"/>
              <w:bottom w:w="80" w:type="dxa"/>
              <w:end w:w="100" w:type="dxa"/>
            </w:tcMar>
            <w:vAlign w:val="center"/>
          </w:tcPr>
          <w:p>
            <w:pPr>
              <w:spacing w:after="0"/>
            </w:pPr>
            <w:r>
              <w:rPr>
                <w:sz w:val="16"/>
              </w:rPr>
              <w:t>June 2026</w:t>
            </w:r>
          </w:p>
        </w:tc>
        <w:tc>
          <w:tcPr>
            <w:tcW w:type="dxa" w:w="1440"/>
            <w:tcMar>
              <w:top w:w="80" w:type="dxa"/>
              <w:start w:w="100" w:type="dxa"/>
              <w:bottom w:w="80" w:type="dxa"/>
              <w:end w:w="100" w:type="dxa"/>
            </w:tcMar>
            <w:vAlign w:val="center"/>
          </w:tcPr>
          <w:p>
            <w:pPr>
              <w:spacing w:after="0"/>
            </w:pPr>
            <w:r>
              <w:rPr>
                <w:sz w:val="16"/>
              </w:rPr>
              <w:t>Approved</w:t>
            </w:r>
          </w:p>
        </w:tc>
        <w:tc>
          <w:tcPr>
            <w:tcW w:type="dxa" w:w="5616"/>
            <w:tcMar>
              <w:top w:w="80" w:type="dxa"/>
              <w:start w:w="100" w:type="dxa"/>
              <w:bottom w:w="80" w:type="dxa"/>
              <w:end w:w="100" w:type="dxa"/>
            </w:tcMar>
            <w:vAlign w:val="center"/>
          </w:tcPr>
          <w:p>
            <w:pPr>
              <w:spacing w:after="0"/>
            </w:pPr>
            <w:r>
              <w:rPr>
                <w:sz w:val="16"/>
              </w:rPr>
              <w:t>Initial approved Charter</w:t>
            </w:r>
          </w:p>
        </w:tc>
      </w:tr>
      <w:tr>
        <w:trPr>
          <w:cantSplit/>
        </w:trPr>
        <w:tc>
          <w:tcPr>
            <w:tcW w:type="dxa" w:w="1008"/>
            <w:tcMar>
              <w:top w:w="80" w:type="dxa"/>
              <w:start w:w="100" w:type="dxa"/>
              <w:bottom w:w="80" w:type="dxa"/>
              <w:end w:w="100" w:type="dxa"/>
            </w:tcMar>
            <w:vAlign w:val="center"/>
          </w:tcPr>
          <w:p>
            <w:pPr>
              <w:spacing w:after="0"/>
            </w:pPr>
            <w:r>
              <w:rPr>
                <w:sz w:val="16"/>
              </w:rPr>
              <w:t>1.3</w:t>
            </w:r>
          </w:p>
        </w:tc>
        <w:tc>
          <w:tcPr>
            <w:tcW w:type="dxa" w:w="1656"/>
            <w:tcMar>
              <w:top w:w="80" w:type="dxa"/>
              <w:start w:w="100" w:type="dxa"/>
              <w:bottom w:w="80" w:type="dxa"/>
              <w:end w:w="100" w:type="dxa"/>
            </w:tcMar>
            <w:vAlign w:val="center"/>
          </w:tcPr>
          <w:p>
            <w:pPr>
              <w:spacing w:after="0"/>
            </w:pPr>
            <w:r>
              <w:rPr>
                <w:sz w:val="16"/>
              </w:rPr>
              <w:t>26 August 2026</w:t>
            </w:r>
          </w:p>
        </w:tc>
        <w:tc>
          <w:tcPr>
            <w:tcW w:type="dxa" w:w="1440"/>
            <w:tcMar>
              <w:top w:w="80" w:type="dxa"/>
              <w:start w:w="100" w:type="dxa"/>
              <w:bottom w:w="80" w:type="dxa"/>
              <w:end w:w="100" w:type="dxa"/>
            </w:tcMar>
            <w:vAlign w:val="center"/>
          </w:tcPr>
          <w:p>
            <w:pPr>
              <w:spacing w:after="0"/>
            </w:pPr>
            <w:r>
              <w:rPr>
                <w:sz w:val="16"/>
              </w:rPr>
              <w:t>Approved</w:t>
            </w:r>
          </w:p>
        </w:tc>
        <w:tc>
          <w:tcPr>
            <w:tcW w:type="dxa" w:w="5616"/>
            <w:tcMar>
              <w:top w:w="80" w:type="dxa"/>
              <w:start w:w="100" w:type="dxa"/>
              <w:bottom w:w="80" w:type="dxa"/>
              <w:end w:w="100" w:type="dxa"/>
            </w:tcMar>
            <w:vAlign w:val="center"/>
          </w:tcPr>
          <w:p>
            <w:pPr>
              <w:spacing w:after="0"/>
            </w:pPr>
            <w:r>
              <w:rPr>
                <w:sz w:val="16"/>
              </w:rPr>
              <w:t>Updated governance, privacy and payment requirements</w:t>
            </w:r>
          </w:p>
        </w:tc>
      </w:tr>
      <w:tr>
        <w:trPr>
          <w:cantSplit/>
        </w:trPr>
        <w:tc>
          <w:tcPr>
            <w:tcW w:type="dxa" w:w="1008"/>
            <w:tcMar>
              <w:top w:w="80" w:type="dxa"/>
              <w:start w:w="100" w:type="dxa"/>
              <w:bottom w:w="80" w:type="dxa"/>
              <w:end w:w="100" w:type="dxa"/>
            </w:tcMar>
            <w:vAlign w:val="center"/>
          </w:tcPr>
          <w:p>
            <w:pPr>
              <w:spacing w:after="0"/>
            </w:pPr>
            <w:r>
              <w:rPr>
                <w:sz w:val="16"/>
              </w:rPr>
              <w:t>1.4</w:t>
            </w:r>
          </w:p>
        </w:tc>
        <w:tc>
          <w:tcPr>
            <w:tcW w:type="dxa" w:w="1656"/>
            <w:tcMar>
              <w:top w:w="80" w:type="dxa"/>
              <w:start w:w="100" w:type="dxa"/>
              <w:bottom w:w="80" w:type="dxa"/>
              <w:end w:w="100" w:type="dxa"/>
            </w:tcMar>
            <w:vAlign w:val="center"/>
          </w:tcPr>
          <w:p>
            <w:pPr>
              <w:spacing w:after="0"/>
            </w:pPr>
            <w:r>
              <w:rPr>
                <w:sz w:val="16"/>
              </w:rPr>
              <w:t>31 August 2026</w:t>
            </w:r>
          </w:p>
        </w:tc>
        <w:tc>
          <w:tcPr>
            <w:tcW w:type="dxa" w:w="1440"/>
            <w:tcMar>
              <w:top w:w="80" w:type="dxa"/>
              <w:start w:w="100" w:type="dxa"/>
              <w:bottom w:w="80" w:type="dxa"/>
              <w:end w:w="100" w:type="dxa"/>
            </w:tcMar>
            <w:vAlign w:val="center"/>
          </w:tcPr>
          <w:p>
            <w:pPr>
              <w:spacing w:after="0"/>
            </w:pPr>
            <w:r>
              <w:rPr>
                <w:sz w:val="16"/>
              </w:rPr>
              <w:t>Approved</w:t>
            </w:r>
          </w:p>
        </w:tc>
        <w:tc>
          <w:tcPr>
            <w:tcW w:type="dxa" w:w="5616"/>
            <w:tcMar>
              <w:top w:w="80" w:type="dxa"/>
              <w:start w:w="100" w:type="dxa"/>
              <w:bottom w:w="80" w:type="dxa"/>
              <w:end w:w="100" w:type="dxa"/>
            </w:tcMar>
            <w:vAlign w:val="center"/>
          </w:tcPr>
          <w:p>
            <w:pPr>
              <w:spacing w:after="0"/>
            </w:pPr>
            <w:r>
              <w:rPr>
                <w:sz w:val="16"/>
              </w:rPr>
              <w:t>Updated for perpetual annual use</w:t>
            </w:r>
          </w:p>
        </w:tc>
      </w:tr>
      <w:tr>
        <w:trPr>
          <w:cantSplit/>
        </w:trPr>
        <w:tc>
          <w:tcPr>
            <w:tcW w:type="dxa" w:w="1008"/>
            <w:tcMar>
              <w:top w:w="80" w:type="dxa"/>
              <w:start w:w="100" w:type="dxa"/>
              <w:bottom w:w="80" w:type="dxa"/>
              <w:end w:w="100" w:type="dxa"/>
            </w:tcMar>
            <w:vAlign w:val="center"/>
          </w:tcPr>
          <w:p>
            <w:pPr>
              <w:spacing w:after="0"/>
            </w:pPr>
            <w:r>
              <w:rPr>
                <w:sz w:val="16"/>
              </w:rPr>
              <w:t>1.5</w:t>
            </w:r>
          </w:p>
        </w:tc>
        <w:tc>
          <w:tcPr>
            <w:tcW w:type="dxa" w:w="1656"/>
            <w:tcMar>
              <w:top w:w="80" w:type="dxa"/>
              <w:start w:w="100" w:type="dxa"/>
              <w:bottom w:w="80" w:type="dxa"/>
              <w:end w:w="100" w:type="dxa"/>
            </w:tcMar>
            <w:vAlign w:val="center"/>
          </w:tcPr>
          <w:p>
            <w:pPr>
              <w:spacing w:after="0"/>
            </w:pPr>
            <w:r>
              <w:rPr>
                <w:sz w:val="16"/>
              </w:rPr>
              <w:t>31 August 2026</w:t>
            </w:r>
          </w:p>
        </w:tc>
        <w:tc>
          <w:tcPr>
            <w:tcW w:type="dxa" w:w="1440"/>
            <w:tcMar>
              <w:top w:w="80" w:type="dxa"/>
              <w:start w:w="100" w:type="dxa"/>
              <w:bottom w:w="80" w:type="dxa"/>
              <w:end w:w="100" w:type="dxa"/>
            </w:tcMar>
            <w:vAlign w:val="center"/>
          </w:tcPr>
          <w:p>
            <w:pPr>
              <w:spacing w:after="0"/>
            </w:pPr>
            <w:r>
              <w:rPr>
                <w:sz w:val="16"/>
              </w:rPr>
              <w:t>Approved</w:t>
            </w:r>
          </w:p>
        </w:tc>
        <w:tc>
          <w:tcPr>
            <w:tcW w:type="dxa" w:w="5616"/>
            <w:tcMar>
              <w:top w:w="80" w:type="dxa"/>
              <w:start w:w="100" w:type="dxa"/>
              <w:bottom w:w="80" w:type="dxa"/>
              <w:end w:w="100" w:type="dxa"/>
            </w:tcMar>
            <w:vAlign w:val="center"/>
          </w:tcPr>
          <w:p>
            <w:pPr>
              <w:spacing w:after="0"/>
            </w:pPr>
            <w:r>
              <w:rPr>
                <w:sz w:val="16"/>
              </w:rPr>
              <w:t>Removed detailed eligibility, scoring, evidence, payment, appeal, privacy and Committee operating requirements; retained governing authority only.</w:t>
            </w:r>
          </w:p>
        </w:tc>
      </w:tr>
    </w:tbl>
    <w:sectPr w:rsidR="00FC693F" w:rsidRPr="0006063C" w:rsidSect="00034616">
      <w:headerReference w:type="default" r:id="rId9"/>
      <w:footerReference w:type="default" r:id="rId10"/>
      <w:pgSz w:w="12240" w:h="15840"/>
      <w:pgMar w:top="893" w:right="1037" w:bottom="835" w:left="1037"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 xml:space="preserve">Page </w:t>
    </w:r>
    <w:r>
      <w:rPr>
        <w:rFonts w:ascii="Arial" w:hAnsi="Arial"/>
        <w:color w:val="666666"/>
        <w:sz w:val="14"/>
      </w:rPr>
    </w:r>
    <w:fldSimple w:instr="PAGE"/>
    <w:r>
      <w:rPr>
        <w:rFonts w:ascii="Arial" w:hAnsi="Arial"/>
        <w:color w:val="666666"/>
        <w:sz w:val="14"/>
      </w:rPr>
      <w:t xml:space="preserve"> of </w:t>
    </w:r>
    <w:r>
      <w:rPr>
        <w:rFonts w:ascii="Arial" w:hAnsi="Arial"/>
        <w:color w:val="666666"/>
        <w:sz w:val="14"/>
      </w:rPr>
    </w:r>
    <w:fldSimple w:instr="NUMPAGES"/>
    <w:r>
      <w:rPr>
        <w:rFonts w:ascii="Arial" w:hAnsi="Arial"/>
        <w:color w:val="666666"/>
        <w:sz w:val="14"/>
      </w:rPr>
      <w:t xml:space="preserve">  |  Version 1.5  |  Approved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66666"/>
        <w:sz w:val="15"/>
      </w:rPr>
      <w:t>EDRILL FAMILY BURSARY  |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31" w:hanging="216"/>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EDrill Family Bursary Charter</dc:title>
  <dc:subject>Authority, scope, funding and governance</dc:subject>
  <dc:creator>Energy Drilling Pte. Ltd.</dc:creator>
  <cp:keywords/>
  <dc:description>Version 1.5 - approved</dc:description>
  <cp:lastModifiedBy/>
  <cp:revision>1</cp:revision>
  <dcterms:created xsi:type="dcterms:W3CDTF">2013-12-23T23:15:00Z</dcterms:created>
  <dcterms:modified xsi:type="dcterms:W3CDTF">2013-12-23T23:15:00Z</dcterms:modified>
  <cp:category/>
</cp:coreProperties>
</file>