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Transfer safety review</w:t>
      </w:r>
    </w:p>
    <w:p>
      <w:pPr>
        <w:pStyle w:val="Subtitle"/>
      </w:pPr>
      <w:r>
        <w:t xml:space="preserve">Barrier Atlas audit review</w:t>
      </w:r>
    </w:p>
    <w:p>
      <w:pPr>
        <w:pStyle w:val="Heading1"/>
      </w:pPr>
      <w:r>
        <w:t xml:space="preserve">Transfer assurance</w:t>
      </w:r>
    </w:p>
    <w:p>
      <w:pPr>
        <w:pStyle w:val="Normal"/>
      </w:pPr>
      <w:r>
        <w:t xml:space="preserve">Ordinal answer counts support qualitative review. No weighted score, risk rating or corrective-action conclusion is calculated.</w:t>
      </w:r>
    </w:p>
    <w:p>
      <w:pPr>
        <w:pStyle w:val="Normal"/>
      </w:pPr>
      <w:r>
        <w:t xml:space="preserve">Review filters: Survey: All; Unit: All; Dates: Any to Any; Respondent: All; Target: All / general; Question: All; All result tendencies</w:t>
      </w:r>
    </w:p>
    <w:tbl>
      <w:tblPr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1800"/>
        <w:gridCol w:w="4000"/>
        <w:gridCol w:w="1600"/>
        <w:gridCol w:w="1960"/>
      </w:tblGrid>
      <w:tr>
        <w:trPr>
          <w:tblHeader/>
          <w:cantSplit/>
        </w:trPr>
        <w:tc>
          <w:tcPr>
            <w:tcW w:w="1800" w:type="dxa"/>
            <w:shd w:fill="E9EFF1"/>
            <w:vAlign w:val="center"/>
          </w:tcPr>
          <w:p>
            <w:pPr>
              <w:pStyle w:val="TableHeader"/>
            </w:pPr>
            <w:r>
              <w:t xml:space="preserve">Survey code</w:t>
            </w:r>
          </w:p>
        </w:tc>
        <w:tc>
          <w:tcPr>
            <w:tcW w:w="4000" w:type="dxa"/>
            <w:shd w:fill="E9EFF1"/>
            <w:vAlign w:val="center"/>
          </w:tcPr>
          <w:p>
            <w:pPr>
              <w:pStyle w:val="TableHeader"/>
            </w:pPr>
            <w:r>
              <w:t xml:space="preserve">Survey</w:t>
            </w:r>
          </w:p>
        </w:tc>
        <w:tc>
          <w:tcPr>
            <w:tcW w:w="1600" w:type="dxa"/>
            <w:shd w:fill="E9EFF1"/>
            <w:vAlign w:val="center"/>
          </w:tcPr>
          <w:p>
            <w:pPr>
              <w:pStyle w:val="TableHeader"/>
            </w:pPr>
            <w:r>
              <w:t xml:space="preserve">Questions</w:t>
            </w:r>
          </w:p>
        </w:tc>
        <w:tc>
          <w:tcPr>
            <w:tcW w:w="1960" w:type="dxa"/>
            <w:shd w:fill="E9EFF1"/>
            <w:vAlign w:val="center"/>
          </w:tcPr>
          <w:p>
            <w:pPr>
              <w:pStyle w:val="TableHeader"/>
            </w:pPr>
            <w:r>
              <w:t xml:space="preserve">Fill-outs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TR-01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Liquid-transfer checks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960" w:type="dxa"/>
            <w:vAlign w:val="center"/>
          </w:tcPr>
          <w:p>
            <w:pPr>
              <w:pStyle w:val="TableText"/>
            </w:pPr>
            <w:r>
              <w:t xml:space="preserve">2</w:t>
            </w:r>
          </w:p>
        </w:tc>
      </w:tr>
    </w:tbl>
    <w:p>
      <w:pPr>
        <w:pStyle w:val="TableGap"/>
      </w:pPr>
      <w:r>
        <w:t xml:space="preserve"/>
      </w:r>
    </w:p>
    <w:p>
      <w:pPr>
        <w:pStyle w:val="Heading2"/>
      </w:pPr>
      <w:r>
        <w:t xml:space="preserve">Check inspection work</w:t>
      </w:r>
    </w:p>
    <w:p>
      <w:pPr>
        <w:pStyle w:val="Normal"/>
      </w:pPr>
      <w:r>
        <w:t xml:space="preserve">Criteria: Review the transfer checklist and observation record</w:t>
      </w:r>
    </w:p>
    <w:p>
      <w:pPr>
        <w:pStyle w:val="Normal"/>
      </w:pPr>
      <w:r>
        <w:t xml:space="preserve">Targets: Inspect transfer hose</w:t>
      </w:r>
    </w:p>
    <w:p>
      <w:pPr>
        <w:pStyle w:val="Normal"/>
      </w:pPr>
      <w:r>
        <w:t xml:space="preserve">Answer keying: Negative first. Context: Shared answer. Result: Recorded answer distribution.</w:t>
      </w:r>
    </w:p>
    <w:p>
      <w:pPr>
        <w:pStyle w:val="Heading2"/>
      </w:pPr>
      <w:r>
        <w:t xml:space="preserve">Check safeguard implementation</w:t>
      </w:r>
    </w:p>
    <w:p>
      <w:pPr>
        <w:pStyle w:val="Normal"/>
      </w:pPr>
      <w:r>
        <w:t xml:space="preserve">Criteria: Review the transfer checklist and observation record</w:t>
      </w:r>
    </w:p>
    <w:p>
      <w:pPr>
        <w:pStyle w:val="Normal"/>
      </w:pPr>
      <w:r>
        <w:t xml:space="preserve">Targets: Emergency isolation, Pre-transfer hose inspection</w:t>
      </w:r>
    </w:p>
    <w:p>
      <w:pPr>
        <w:pStyle w:val="Normal"/>
      </w:pPr>
      <w:r>
        <w:t xml:space="preserve">Answer keying: Positive first. Context: Repeated for each linked target. Result: Most negative recorded answer.</w:t>
      </w:r>
    </w:p>
    <w:p>
      <w:pPr>
        <w:pStyle w:val="Heading2"/>
      </w:pPr>
      <w:r>
        <w:t xml:space="preserve">Review framework</w:t>
      </w:r>
    </w:p>
    <w:p>
      <w:pPr>
        <w:pStyle w:val="Normal"/>
      </w:pPr>
      <w:r>
        <w:t xml:space="preserve">Criteria: Review the transfer checklist and observation record</w:t>
      </w:r>
    </w:p>
    <w:p>
      <w:pPr>
        <w:pStyle w:val="Normal"/>
      </w:pPr>
      <w:r>
        <w:t xml:space="preserve">Targets: General question</w:t>
      </w:r>
    </w:p>
    <w:p>
      <w:pPr>
        <w:pStyle w:val="Normal"/>
      </w:pPr>
      <w:r>
        <w:t xml:space="preserve">Answer keying: Positive first. Context: Shared answer. Result: Recorded answer distribution.</w:t>
      </w:r>
    </w:p>
    <w:p>
      <w:pPr>
        <w:pStyle w:val="Heading2"/>
      </w:pPr>
      <w:r>
        <w:t xml:space="preserve">Check inspection work</w:t>
      </w:r>
    </w:p>
    <w:tbl>
      <w:tblPr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5000"/>
        <w:gridCol w:w="2360"/>
        <w:gridCol w:w="2000"/>
      </w:tblGrid>
      <w:tr>
        <w:trPr>
          <w:tblHeader/>
          <w:cantSplit/>
        </w:trPr>
        <w:tc>
          <w:tcPr>
            <w:tcW w:w="5000" w:type="dxa"/>
            <w:shd w:fill="E9EFF1"/>
            <w:vAlign w:val="center"/>
          </w:tcPr>
          <w:p>
            <w:pPr>
              <w:pStyle w:val="TableHeader"/>
            </w:pPr>
            <w:r>
              <w:t xml:space="preserve">Ordinal answer</w:t>
            </w:r>
          </w:p>
        </w:tc>
        <w:tc>
          <w:tcPr>
            <w:tcW w:w="2360" w:type="dxa"/>
            <w:shd w:fill="E9EFF1"/>
            <w:vAlign w:val="center"/>
          </w:tcPr>
          <w:p>
            <w:pPr>
              <w:pStyle w:val="TableHeader"/>
            </w:pPr>
            <w:r>
              <w:t xml:space="preserve">Tendency</w:t>
            </w:r>
          </w:p>
        </w:tc>
        <w:tc>
          <w:tcPr>
            <w:tcW w:w="2000" w:type="dxa"/>
            <w:shd w:fill="E9EFF1"/>
            <w:vAlign w:val="center"/>
          </w:tcPr>
          <w:p>
            <w:pPr>
              <w:pStyle w:val="TableHeader"/>
            </w:pPr>
            <w:r>
              <w:t xml:space="preserve">Count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pStyle w:val="TableText"/>
            </w:pPr>
            <w:r>
              <w:t xml:space="preserve">Missing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 xml:space="preserve">negative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pStyle w:val="TableText"/>
            </w:pPr>
            <w:r>
              <w:t xml:space="preserve">Ready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 xml:space="preserve">neutral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pStyle w:val="TableText"/>
            </w:pPr>
            <w:r>
              <w:t xml:space="preserve">Verified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 xml:space="preserve">positive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</w:tbl>
    <w:p>
      <w:pPr>
        <w:pStyle w:val="TableGap"/>
      </w:pPr>
      <w:r>
        <w:t xml:space="preserve"/>
      </w:r>
    </w:p>
    <w:p>
      <w:pPr>
        <w:pStyle w:val="Normal"/>
      </w:pPr>
      <w:r>
        <w:t xml:space="preserve">Unanswered slots: 0. Interpretation remains with the reviewer.</w:t>
      </w:r>
    </w:p>
    <w:p>
      <w:pPr>
        <w:pStyle w:val="Heading3"/>
      </w:pPr>
      <w:r>
        <w:t xml:space="preserve">2026-10-13 · Local reviewer · Operations · Complete</w:t>
      </w:r>
    </w:p>
    <w:p>
      <w:pPr>
        <w:pStyle w:val="Normal"/>
      </w:pPr>
      <w:r>
        <w:t xml:space="preserve">Context: Shared / general. Answer: Missing.</w:t>
      </w:r>
    </w:p>
    <w:p>
      <w:pPr>
        <w:pStyle w:val="Normal"/>
      </w:pPr>
      <w:r>
        <w:t xml:space="preserve">Notes / evidence: Observed during transfer; checklist reference recorded</w:t>
      </w:r>
    </w:p>
    <w:p>
      <w:pPr>
        <w:pStyle w:val="Heading3"/>
      </w:pPr>
      <w:r>
        <w:t xml:space="preserve">2026-10-14 · External reviewer · Night shift · Complete</w:t>
      </w:r>
    </w:p>
    <w:p>
      <w:pPr>
        <w:pStyle w:val="Normal"/>
      </w:pPr>
      <w:r>
        <w:t xml:space="preserve">Context: Shared / general. Answer: Missing.</w:t>
      </w:r>
    </w:p>
    <w:p>
      <w:pPr>
        <w:pStyle w:val="Normal"/>
      </w:pPr>
      <w:r>
        <w:t xml:space="preserve">Notes / evidence: Independent Excel-like response evidence</w:t>
      </w:r>
    </w:p>
    <w:p>
      <w:pPr>
        <w:pStyle w:val="Heading2"/>
      </w:pPr>
      <w:r>
        <w:t xml:space="preserve">Check safeguard implementation</w:t>
      </w:r>
    </w:p>
    <w:tbl>
      <w:tblPr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5000"/>
        <w:gridCol w:w="2360"/>
        <w:gridCol w:w="2000"/>
      </w:tblGrid>
      <w:tr>
        <w:trPr>
          <w:tblHeader/>
          <w:cantSplit/>
        </w:trPr>
        <w:tc>
          <w:tcPr>
            <w:tcW w:w="5000" w:type="dxa"/>
            <w:shd w:fill="E9EFF1"/>
            <w:vAlign w:val="center"/>
          </w:tcPr>
          <w:p>
            <w:pPr>
              <w:pStyle w:val="TableHeader"/>
            </w:pPr>
            <w:r>
              <w:t xml:space="preserve">Ordinal answer</w:t>
            </w:r>
          </w:p>
        </w:tc>
        <w:tc>
          <w:tcPr>
            <w:tcW w:w="2360" w:type="dxa"/>
            <w:shd w:fill="E9EFF1"/>
            <w:vAlign w:val="center"/>
          </w:tcPr>
          <w:p>
            <w:pPr>
              <w:pStyle w:val="TableHeader"/>
            </w:pPr>
            <w:r>
              <w:t xml:space="preserve">Tendency</w:t>
            </w:r>
          </w:p>
        </w:tc>
        <w:tc>
          <w:tcPr>
            <w:tcW w:w="2000" w:type="dxa"/>
            <w:shd w:fill="E9EFF1"/>
            <w:vAlign w:val="center"/>
          </w:tcPr>
          <w:p>
            <w:pPr>
              <w:pStyle w:val="TableHeader"/>
            </w:pPr>
            <w:r>
              <w:t xml:space="preserve">Count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pStyle w:val="TableText"/>
            </w:pPr>
            <w:r>
              <w:t xml:space="preserve">Verified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 xml:space="preserve">positive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3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pStyle w:val="TableText"/>
            </w:pPr>
            <w:r>
              <w:t xml:space="preserve">Needs review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 xml:space="preserve">neutral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pStyle w:val="TableText"/>
            </w:pPr>
            <w:r>
              <w:t xml:space="preserve">Absent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 xml:space="preserve">negative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1</w:t>
            </w:r>
          </w:p>
        </w:tc>
      </w:tr>
    </w:tbl>
    <w:p>
      <w:pPr>
        <w:pStyle w:val="TableGap"/>
      </w:pPr>
      <w:r>
        <w:t xml:space="preserve"/>
      </w:r>
    </w:p>
    <w:p>
      <w:pPr>
        <w:pStyle w:val="Normal"/>
      </w:pPr>
      <w:r>
        <w:t xml:space="preserve">Unanswered slots: 0. Overall: Absent.</w:t>
      </w:r>
    </w:p>
    <w:p>
      <w:pPr>
        <w:pStyle w:val="Heading3"/>
      </w:pPr>
      <w:r>
        <w:t xml:space="preserve">2026-10-13 · Local reviewer · Operations · Complete</w:t>
      </w:r>
    </w:p>
    <w:p>
      <w:pPr>
        <w:pStyle w:val="Normal"/>
      </w:pPr>
      <w:r>
        <w:t xml:space="preserve">Context: Emergency isolation. Answer: Absent.</w:t>
      </w:r>
    </w:p>
    <w:p>
      <w:pPr>
        <w:pStyle w:val="Normal"/>
      </w:pPr>
      <w:r>
        <w:t xml:space="preserve">Notes / evidence: Observed during transfer; checklist reference recorded</w:t>
      </w:r>
    </w:p>
    <w:p>
      <w:pPr>
        <w:pStyle w:val="Heading3"/>
      </w:pPr>
      <w:r>
        <w:t xml:space="preserve">2026-10-13 · Local reviewer · Operations · Complete</w:t>
      </w:r>
    </w:p>
    <w:p>
      <w:pPr>
        <w:pStyle w:val="Normal"/>
      </w:pPr>
      <w:r>
        <w:t xml:space="preserve">Context: Pre-transfer hose inspection. Answer: Verified.</w:t>
      </w:r>
    </w:p>
    <w:p>
      <w:pPr>
        <w:pStyle w:val="Normal"/>
      </w:pPr>
      <w:r>
        <w:t xml:space="preserve">Notes / evidence: Observed during transfer; checklist reference recorded</w:t>
      </w:r>
    </w:p>
    <w:p>
      <w:pPr>
        <w:pStyle w:val="Heading3"/>
      </w:pPr>
      <w:r>
        <w:t xml:space="preserve">2026-10-14 · External reviewer · Night shift · Complete</w:t>
      </w:r>
    </w:p>
    <w:p>
      <w:pPr>
        <w:pStyle w:val="Normal"/>
      </w:pPr>
      <w:r>
        <w:t xml:space="preserve">Context: Emergency isolation. Answer: Verified.</w:t>
      </w:r>
    </w:p>
    <w:p>
      <w:pPr>
        <w:pStyle w:val="Normal"/>
      </w:pPr>
      <w:r>
        <w:t xml:space="preserve">Notes / evidence: Independent Excel-like response evidence</w:t>
      </w:r>
    </w:p>
    <w:p>
      <w:pPr>
        <w:pStyle w:val="Heading3"/>
      </w:pPr>
      <w:r>
        <w:t xml:space="preserve">2026-10-14 · External reviewer · Night shift · Complete</w:t>
      </w:r>
    </w:p>
    <w:p>
      <w:pPr>
        <w:pStyle w:val="Normal"/>
      </w:pPr>
      <w:r>
        <w:t xml:space="preserve">Context: Pre-transfer hose inspection. Answer: Verified.</w:t>
      </w:r>
    </w:p>
    <w:p>
      <w:pPr>
        <w:pStyle w:val="Normal"/>
      </w:pPr>
      <w:r>
        <w:t xml:space="preserve">Notes / evidence: Independent Excel-like response evidence</w:t>
      </w:r>
    </w:p>
    <w:p>
      <w:pPr>
        <w:pStyle w:val="Heading2"/>
      </w:pPr>
      <w:r>
        <w:t xml:space="preserve">Review framework</w:t>
      </w:r>
    </w:p>
    <w:tbl>
      <w:tblPr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5000"/>
        <w:gridCol w:w="2360"/>
        <w:gridCol w:w="2000"/>
      </w:tblGrid>
      <w:tr>
        <w:trPr>
          <w:tblHeader/>
          <w:cantSplit/>
        </w:trPr>
        <w:tc>
          <w:tcPr>
            <w:tcW w:w="5000" w:type="dxa"/>
            <w:shd w:fill="E9EFF1"/>
            <w:vAlign w:val="center"/>
          </w:tcPr>
          <w:p>
            <w:pPr>
              <w:pStyle w:val="TableHeader"/>
            </w:pPr>
            <w:r>
              <w:t xml:space="preserve">Ordinal answer</w:t>
            </w:r>
          </w:p>
        </w:tc>
        <w:tc>
          <w:tcPr>
            <w:tcW w:w="2360" w:type="dxa"/>
            <w:shd w:fill="E9EFF1"/>
            <w:vAlign w:val="center"/>
          </w:tcPr>
          <w:p>
            <w:pPr>
              <w:pStyle w:val="TableHeader"/>
            </w:pPr>
            <w:r>
              <w:t xml:space="preserve">Tendency</w:t>
            </w:r>
          </w:p>
        </w:tc>
        <w:tc>
          <w:tcPr>
            <w:tcW w:w="2000" w:type="dxa"/>
            <w:shd w:fill="E9EFF1"/>
            <w:vAlign w:val="center"/>
          </w:tcPr>
          <w:p>
            <w:pPr>
              <w:pStyle w:val="TableHeader"/>
            </w:pPr>
            <w:r>
              <w:t xml:space="preserve">Count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pStyle w:val="TableText"/>
            </w:pPr>
            <w:r>
              <w:t xml:space="preserve">Established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 xml:space="preserve">positive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pStyle w:val="TableText"/>
            </w:pPr>
            <w:r>
              <w:t xml:space="preserve">Needs attention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 xml:space="preserve">negative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</w:tbl>
    <w:p>
      <w:pPr>
        <w:pStyle w:val="TableGap"/>
      </w:pPr>
      <w:r>
        <w:t xml:space="preserve"/>
      </w:r>
    </w:p>
    <w:p>
      <w:pPr>
        <w:pStyle w:val="Normal"/>
      </w:pPr>
      <w:r>
        <w:t xml:space="preserve">Unanswered slots: 0. Interpretation remains with the reviewer.</w:t>
      </w:r>
    </w:p>
    <w:sectPr>
      <w:pgSz w:w="12240" w:h="15840"/>
      <w:pgMar w:top="1080" w:right="1440" w:bottom="1080" w:left="1440" w:header="360" w:footer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Noto Sans">
    <w:embedRegular r:id="rIdFont" w:fontKey="{12345678-1234-1234-1234-123456789ABC}"/>
  </w:font>
</w:fonts>
</file>

<file path=word/styles.xml><?xml version="1.0" encoding="utf-8"?>
<w:styles xmlns:w="http://schemas.openxmlformats.org/wordprocessingml/2006/main">
  <w:docDefaults>
    <w:rPrDefault>
      <w:rPr>
        <w:rFonts w:ascii="Noto Sans" w:hAnsi="Noto Sans"/>
        <w:color w:val="000000"/>
        <w:sz w:val="22"/>
      </w:rPr>
    </w:rPrDefault>
    <w:pPrDefault>
      <w:pPr>
        <w:spacing w:after="120" w:line="276" w:lineRule="auto"/>
      </w:pPr>
    </w:pPrDefault>
  </w:docDefaults>
  <w:style w:type="paragraph" w:styleId="Normal" w:default="1">
    <w:name w:val="Normal"/>
    <w:pPr/>
    <w:rPr>
      <w:color w:val="000000"/>
      <w:sz w:val="22"/>
    </w:rPr>
  </w:style>
  <w:style w:type="paragraph" w:styleId="Title">
    <w:name w:val="Title"/>
    <w:basedOn w:val="Normal"/>
    <w:pPr>
      <w:keepNext/>
      <w:spacing w:before="220" w:after="100"/>
    </w:pPr>
    <w:rPr>
      <w:color w:val="000000"/>
      <w:sz w:val="40"/>
    </w:rPr>
  </w:style>
  <w:style w:type="paragraph" w:styleId="Subtitle">
    <w:name w:val="Subtitle"/>
    <w:basedOn w:val="Normal"/>
    <w:pPr/>
    <w:rPr>
      <w:color w:val="000000"/>
      <w:sz w:val="24"/>
    </w:rPr>
  </w:style>
  <w:style w:type="paragraph" w:styleId="Heading1">
    <w:name w:val="Heading1"/>
    <w:basedOn w:val="Normal"/>
    <w:pPr>
      <w:keepNext/>
      <w:spacing w:before="220" w:after="100"/>
    </w:pPr>
    <w:rPr>
      <w:color w:val="000000"/>
      <w:sz w:val="30"/>
      <w:b/>
    </w:rPr>
  </w:style>
  <w:style w:type="paragraph" w:styleId="Heading2">
    <w:name w:val="Heading2"/>
    <w:basedOn w:val="Normal"/>
    <w:pPr>
      <w:keepNext/>
      <w:spacing w:before="220" w:after="100"/>
    </w:pPr>
    <w:rPr>
      <w:color w:val="000000"/>
      <w:sz w:val="26"/>
      <w:b/>
    </w:rPr>
  </w:style>
  <w:style w:type="paragraph" w:styleId="Heading3">
    <w:name w:val="Heading3"/>
    <w:basedOn w:val="Normal"/>
    <w:pPr>
      <w:keepNext/>
      <w:spacing w:before="220" w:after="100"/>
    </w:pPr>
    <w:rPr>
      <w:color w:val="000000"/>
      <w:sz w:val="23"/>
      <w:b/>
    </w:rPr>
  </w:style>
  <w:style w:type="paragraph" w:styleId="TableText">
    <w:name w:val="TableText"/>
    <w:basedOn w:val="Normal"/>
    <w:pPr>
      <w:spacing w:after="0" w:line="260" w:lineRule="auto"/>
    </w:pPr>
    <w:rPr>
      <w:color w:val="000000"/>
      <w:sz w:val="21"/>
    </w:rPr>
  </w:style>
  <w:style w:type="paragraph" w:styleId="TableHeader">
    <w:name w:val="TableHeader"/>
    <w:basedOn w:val="Normal"/>
    <w:pPr>
      <w:keepNext/>
      <w:spacing w:after="0" w:line="260" w:lineRule="auto"/>
    </w:pPr>
    <w:rPr>
      <w:color w:val="000000"/>
      <w:sz w:val="21"/>
      <w:b/>
    </w:rPr>
  </w:style>
  <w:style w:type="paragraph" w:styleId="TableGap">
    <w:name w:val="TableGap"/>
    <w:basedOn w:val="Normal"/>
    <w:pPr>
      <w:spacing w:before="0" w:after="60" w:line="40" w:lineRule="exact"/>
    </w:pPr>
    <w:rPr>
      <w:color w:val="000000"/>
      <w:sz w:val="2"/>
    </w:rPr>
  </w:style>
  <w:style w:type="paragraph" w:styleId="DetailLead">
    <w:name w:val="DetailLead"/>
    <w:basedOn w:val="Normal"/>
    <w:pPr>
      <w:keepNext/>
    </w:pPr>
    <w:rPr>
      <w:color w:val="000000"/>
      <w:sz w:val="22"/>
    </w:rPr>
  </w:style>
</w:styles>
</file>

<file path=word/_rels/document.xml.rels><?xml version="1.0"?><Relationships xmlns="http://schemas.openxmlformats.org/package/2006/relationships"><Relationship Id="rIdStyles" Type="http://schemas.openxmlformats.org/officeDocument/2006/relationships/styles" Target="styles.xml"/><Relationship Id="rIdFonts" Type="http://schemas.openxmlformats.org/officeDocument/2006/relationships/fontTable" Target="fontTable.xml"/></Relationships>
</file>

<file path=word/_rels/fontTable.xml.rels><?xml version="1.0"?><Relationships xmlns="http://schemas.openxmlformats.org/package/2006/relationships"><Relationship Id="rIdFont" Type="http://schemas.openxmlformats.org/officeDocument/2006/relationships/font" Target="fonts/NotoSans.odttf"/></Relationships>
</file>