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Transfer safety review</w:t>
      </w:r>
    </w:p>
    <w:p>
      <w:pPr>
        <w:pStyle w:val="Subtitle"/>
      </w:pPr>
      <w:r>
        <w:t xml:space="preserve">Barrier Atlas case report</w:t>
      </w:r>
    </w:p>
    <w:p>
      <w:pPr>
        <w:pStyle w:val="Normal"/>
      </w:pPr>
      <w:r>
        <w:t xml:space="preserve">This report presents the open case, its scenarios and barriers, recorded risk assessments, improvement actions and supporting references. Ratings and rationale are the values entered in the case.</w:t>
      </w:r>
    </w:p>
    <w:p>
      <w:pPr>
        <w:pStyle w:val="Heading1"/>
      </w:pPr>
      <w:r>
        <w:t xml:space="preserve">Case summary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000"/>
        <w:gridCol w:w="3360"/>
      </w:tblGrid>
      <w:tr>
        <w:trPr>
          <w:tblHeader/>
          <w:cantSplit/>
        </w:trPr>
        <w:tc>
          <w:tcPr>
            <w:tcW w:w="6000" w:type="dxa"/>
            <w:shd w:fill="E9EFF1"/>
            <w:vAlign w:val="center"/>
          </w:tcPr>
          <w:p>
            <w:pPr>
              <w:pStyle w:val="TableHeader"/>
            </w:pPr>
            <w:r>
              <w:t xml:space="preserve">Item</w:t>
            </w:r>
          </w:p>
        </w:tc>
        <w:tc>
          <w:tcPr>
            <w:tcW w:w="3360" w:type="dxa"/>
            <w:shd w:fill="E9EFF1"/>
            <w:vAlign w:val="center"/>
          </w:tcPr>
          <w:p>
            <w:pPr>
              <w:pStyle w:val="TableHeader"/>
            </w:pPr>
            <w:r>
              <w:t xml:space="preserve">Count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hazard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diagram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threat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consequence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barrier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escalation factor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activity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document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action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2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Normal"/>
      </w:pPr>
      <w:r>
        <w:t xml:space="preserve">Organization: Example workshop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000"/>
        <w:gridCol w:w="3360"/>
      </w:tblGrid>
      <w:tr>
        <w:trPr>
          <w:tblHeader/>
          <w:cantSplit/>
        </w:trPr>
        <w:tc>
          <w:tcPr>
            <w:tcW w:w="6000" w:type="dxa"/>
            <w:shd w:fill="E9EFF1"/>
            <w:vAlign w:val="center"/>
          </w:tcPr>
          <w:p>
            <w:pPr>
              <w:pStyle w:val="TableHeader"/>
            </w:pPr>
            <w:r>
              <w:t xml:space="preserve">Group</w:t>
            </w:r>
          </w:p>
        </w:tc>
        <w:tc>
          <w:tcPr>
            <w:tcW w:w="3360" w:type="dxa"/>
            <w:shd w:fill="E9EFF1"/>
            <w:vAlign w:val="center"/>
          </w:tcPr>
          <w:p>
            <w:pPr>
              <w:pStyle w:val="TableHeader"/>
            </w:pPr>
            <w:r>
              <w:t xml:space="preserve">Parent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pStyle w:val="TableText"/>
            </w:pPr>
            <w:r>
              <w:t xml:space="preserve">Transfer station</w:t>
            </w:r>
          </w:p>
        </w:tc>
        <w:tc>
          <w:tcPr>
            <w:tcW w:w="3360" w:type="dxa"/>
            <w:vAlign w:val="center"/>
          </w:tcPr>
          <w:p>
            <w:pPr>
              <w:pStyle w:val="TableText"/>
            </w:pPr>
            <w:r>
              <w:t xml:space="preserve">Example workshop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1"/>
      </w:pPr>
      <w:r>
        <w:t xml:space="preserve">Hazards and scenarios</w:t>
      </w:r>
    </w:p>
    <w:p>
      <w:pPr>
        <w:pStyle w:val="Heading2"/>
      </w:pPr>
      <w:r>
        <w:t xml:space="preserve">Flammable liquid transfer</w:t>
      </w:r>
    </w:p>
    <w:p>
      <w:pPr>
        <w:pStyle w:val="DetailLead"/>
      </w:pPr>
      <w:r>
        <w:t xml:space="preserve">Group: Transfer station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Improvement / ALARP rationale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Review further practicable safeguards with the team; this diagram does not certify safety.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Loss of containment</w:t>
      </w:r>
    </w:p>
    <w:p>
      <w:pPr>
        <w:pStyle w:val="Normal"/>
      </w:pPr>
      <w:r>
        <w:t xml:space="preserve">Top event: Loss of containment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800"/>
        <w:gridCol w:w="3000"/>
        <w:gridCol w:w="3000"/>
        <w:gridCol w:w="1560"/>
      </w:tblGrid>
      <w:tr>
        <w:trPr>
          <w:tblHeader/>
          <w:cantSplit/>
        </w:trPr>
        <w:tc>
          <w:tcPr>
            <w:tcW w:w="1800" w:type="dxa"/>
            <w:shd w:fill="E9EFF1"/>
            <w:vAlign w:val="center"/>
          </w:tcPr>
          <w:p>
            <w:pPr>
              <w:pStyle w:val="TableHeader"/>
            </w:pPr>
            <w:r>
              <w:t xml:space="preserve">Entity</w:t>
            </w:r>
          </w:p>
        </w:tc>
        <w:tc>
          <w:tcPr>
            <w:tcW w:w="3000" w:type="dxa"/>
            <w:shd w:fill="E9EFF1"/>
            <w:vAlign w:val="center"/>
          </w:tcPr>
          <w:p>
            <w:pPr>
              <w:pStyle w:val="TableHeader"/>
            </w:pPr>
            <w:r>
              <w:t xml:space="preserve">Name</w:t>
            </w:r>
          </w:p>
        </w:tc>
        <w:tc>
          <w:tcPr>
            <w:tcW w:w="3000" w:type="dxa"/>
            <w:shd w:fill="E9EFF1"/>
            <w:vAlign w:val="center"/>
          </w:tcPr>
          <w:p>
            <w:pPr>
              <w:pStyle w:val="TableHeader"/>
            </w:pPr>
            <w:r>
              <w:t xml:space="preserve">Parent</w:t>
            </w:r>
          </w:p>
        </w:tc>
        <w:tc>
          <w:tcPr>
            <w:tcW w:w="1560" w:type="dxa"/>
            <w:shd w:fill="E9EFF1"/>
            <w:vAlign w:val="center"/>
          </w:tcPr>
          <w:p>
            <w:pPr>
              <w:pStyle w:val="TableHeader"/>
            </w:pPr>
            <w:r>
              <w:t xml:space="preserve">Rating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threat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Hose rupture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Loss of containment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barrier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Hose rupture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Effective</w:t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escalation factor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Poor lighting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barrier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Portable inspection light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Poor lighting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consequence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Pool fire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Loss of containment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barrier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Emergency isolation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Pool fire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threat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Tank overfill during transfer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Loss of containment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barrier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High-level trip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Tank overfill during transfer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consequence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Environmental release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Loss of containment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barrier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Bund containment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Environmental release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Hose rupture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Exposure hours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Eight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Pre-transfer hose inspection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Code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B-01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Yes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Effectiveness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Effective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Portable inspection light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Pool fire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Emergency isolation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Tank overfill during transfer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High-level trip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Environmental release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3"/>
      </w:pPr>
      <w:r>
        <w:t xml:space="preserve">Bund containment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Acceptance criteria met (manual)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1"/>
      </w:pPr>
      <w:r>
        <w:t xml:space="preserve">Risk assessments and matrix context</w:t>
      </w:r>
    </w:p>
    <w:p>
      <w:pPr>
        <w:pStyle w:val="Heading2"/>
      </w:pPr>
      <w:r>
        <w:t xml:space="preserve">Safety assessment</w:t>
      </w:r>
    </w:p>
    <w:p>
      <w:pPr>
        <w:pStyle w:val="Normal"/>
      </w:pPr>
      <w:r>
        <w:t xml:space="preserve">Coordinates: YX. Likelihood is horizontal and severity is vertical. Category order follows the recorded low to high impact rank.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000"/>
        <w:gridCol w:w="1600"/>
        <w:gridCol w:w="5760"/>
      </w:tblGrid>
      <w:tr>
        <w:trPr>
          <w:tblHeader/>
          <w:cantSplit/>
        </w:trPr>
        <w:tc>
          <w:tcPr>
            <w:tcW w:w="2000" w:type="dxa"/>
            <w:shd w:fill="E9EFF1"/>
            <w:vAlign w:val="center"/>
          </w:tcPr>
          <w:p>
            <w:pPr>
              <w:pStyle w:val="TableHeader"/>
            </w:pPr>
            <w:r>
              <w:t xml:space="preserve">Axis</w:t>
            </w:r>
          </w:p>
        </w:tc>
        <w:tc>
          <w:tcPr>
            <w:tcW w:w="1600" w:type="dxa"/>
            <w:shd w:fill="E9EFF1"/>
            <w:vAlign w:val="center"/>
          </w:tcPr>
          <w:p>
            <w:pPr>
              <w:pStyle w:val="TableHeader"/>
            </w:pPr>
            <w:r>
              <w:t xml:space="preserve">Code</w:t>
            </w:r>
          </w:p>
        </w:tc>
        <w:tc>
          <w:tcPr>
            <w:tcW w:w="5760" w:type="dxa"/>
            <w:shd w:fill="E9EFF1"/>
            <w:vAlign w:val="center"/>
          </w:tcPr>
          <w:p>
            <w:pPr>
              <w:pStyle w:val="TableHeader"/>
            </w:pPr>
            <w:r>
              <w:t xml:space="preserve">Label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Likelihood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R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Rare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Likelihood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F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Frequent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Severity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m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Minor</w:t>
            </w:r>
          </w:p>
        </w:tc>
      </w:tr>
      <w:tr>
        <w:trPr>
          <w:cantSplit/>
        </w:trPr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Severity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M</w:t>
            </w:r>
          </w:p>
        </w:tc>
        <w:tc>
          <w:tcPr>
            <w:tcW w:w="5760" w:type="dxa"/>
            <w:vAlign w:val="center"/>
          </w:tcPr>
          <w:p>
            <w:pPr>
              <w:pStyle w:val="TableText"/>
            </w:pPr>
            <w:r>
              <w:t xml:space="preserve">Major</w:t>
            </w:r>
          </w:p>
        </w:tc>
      </w:tr>
    </w:tbl>
    <w:p>
      <w:pPr>
        <w:pStyle w:val="TableGap"/>
      </w:pPr>
      <w:r>
        <w:t xml:space="preserve"/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200"/>
        <w:gridCol w:w="6560"/>
        <w:gridCol w:w="1600"/>
      </w:tblGrid>
      <w:tr>
        <w:trPr>
          <w:tblHeader/>
          <w:cantSplit/>
        </w:trPr>
        <w:tc>
          <w:tcPr>
            <w:tcW w:w="1200" w:type="dxa"/>
            <w:shd w:fill="E9EFF1"/>
            <w:vAlign w:val="center"/>
          </w:tcPr>
          <w:p>
            <w:pPr>
              <w:pStyle w:val="TableHeader"/>
            </w:pPr>
            <w:r>
              <w:t xml:space="preserve">Rank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Category</w:t>
            </w:r>
          </w:p>
        </w:tc>
        <w:tc>
          <w:tcPr>
            <w:tcW w:w="1600" w:type="dxa"/>
            <w:shd w:fill="E9EFF1"/>
            <w:vAlign w:val="center"/>
          </w:tcPr>
          <w:p>
            <w:pPr>
              <w:pStyle w:val="TableHeader"/>
            </w:pPr>
            <w:r>
              <w:t xml:space="preserve">Color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0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Low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#b9dfbb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1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High</w:t>
            </w:r>
          </w:p>
        </w:tc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#edb4ad</w:t>
            </w:r>
          </w:p>
        </w:tc>
      </w:tr>
    </w:tbl>
    <w:p>
      <w:pPr>
        <w:pStyle w:val="TableGap"/>
      </w:pPr>
      <w:r>
        <w:t xml:space="preserve"/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1600"/>
        <w:gridCol w:w="3000"/>
        <w:gridCol w:w="4760"/>
      </w:tblGrid>
      <w:tr>
        <w:trPr>
          <w:tblHeader/>
          <w:cantSplit/>
        </w:trPr>
        <w:tc>
          <w:tcPr>
            <w:tcW w:w="1600" w:type="dxa"/>
            <w:shd w:fill="E9EFF1"/>
            <w:vAlign w:val="center"/>
          </w:tcPr>
          <w:p>
            <w:pPr>
              <w:pStyle w:val="TableHeader"/>
            </w:pPr>
            <w:r>
              <w:t xml:space="preserve">Coordinate</w:t>
            </w:r>
          </w:p>
        </w:tc>
        <w:tc>
          <w:tcPr>
            <w:tcW w:w="3000" w:type="dxa"/>
            <w:shd w:fill="E9EFF1"/>
            <w:vAlign w:val="center"/>
          </w:tcPr>
          <w:p>
            <w:pPr>
              <w:pStyle w:val="TableHeader"/>
            </w:pPr>
            <w:r>
              <w:t xml:space="preserve">Category</w:t>
            </w:r>
          </w:p>
        </w:tc>
        <w:tc>
          <w:tcPr>
            <w:tcW w:w="4760" w:type="dxa"/>
            <w:shd w:fill="E9EFF1"/>
            <w:vAlign w:val="center"/>
          </w:tcPr>
          <w:p>
            <w:pPr>
              <w:pStyle w:val="TableHeader"/>
            </w:pPr>
            <w:r>
              <w:t xml:space="preserve">Cell label</w:t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mR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Low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mF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Low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MR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Low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1600" w:type="dxa"/>
            <w:vAlign w:val="center"/>
          </w:tcPr>
          <w:p>
            <w:pPr>
              <w:pStyle w:val="TableText"/>
            </w:pPr>
            <w:r>
              <w:t xml:space="preserve">MF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High</w:t>
            </w:r>
          </w:p>
        </w:tc>
        <w:tc>
          <w:tcPr>
            <w:tcW w:w="4760" w:type="dxa"/>
            <w:vAlign w:val="center"/>
          </w:tcPr>
          <w:p>
            <w:pPr>
              <w:pStyle w:val="TableText"/>
            </w:pPr>
            <w:r>
              <w:t xml:space="preserve">High impact</w:t>
            </w:r>
          </w:p>
        </w:tc>
      </w:tr>
    </w:tbl>
    <w:p>
      <w:pPr>
        <w:pStyle w:val="TableGap"/>
      </w:pPr>
      <w:r>
        <w:t xml:space="preserve"/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600"/>
        <w:gridCol w:w="1800"/>
        <w:gridCol w:w="1560"/>
        <w:gridCol w:w="2400"/>
      </w:tblGrid>
      <w:tr>
        <w:trPr>
          <w:tblHeader/>
          <w:cantSplit/>
        </w:trPr>
        <w:tc>
          <w:tcPr>
            <w:tcW w:w="3600" w:type="dxa"/>
            <w:shd w:fill="E9EFF1"/>
            <w:vAlign w:val="center"/>
          </w:tcPr>
          <w:p>
            <w:pPr>
              <w:pStyle w:val="TableHeader"/>
            </w:pPr>
            <w:r>
              <w:t xml:space="preserve">Target</w:t>
            </w:r>
          </w:p>
        </w:tc>
        <w:tc>
          <w:tcPr>
            <w:tcW w:w="1800" w:type="dxa"/>
            <w:shd w:fill="E9EFF1"/>
            <w:vAlign w:val="center"/>
          </w:tcPr>
          <w:p>
            <w:pPr>
              <w:pStyle w:val="TableHeader"/>
            </w:pPr>
            <w:r>
              <w:t xml:space="preserve">Phase</w:t>
            </w:r>
          </w:p>
        </w:tc>
        <w:tc>
          <w:tcPr>
            <w:tcW w:w="1560" w:type="dxa"/>
            <w:shd w:fill="E9EFF1"/>
            <w:vAlign w:val="center"/>
          </w:tcPr>
          <w:p>
            <w:pPr>
              <w:pStyle w:val="TableHeader"/>
            </w:pPr>
            <w:r>
              <w:t xml:space="preserve">Coordinate</w:t>
            </w:r>
          </w:p>
        </w:tc>
        <w:tc>
          <w:tcPr>
            <w:tcW w:w="2400" w:type="dxa"/>
            <w:shd w:fill="E9EFF1"/>
            <w:vAlign w:val="center"/>
          </w:tcPr>
          <w:p>
            <w:pPr>
              <w:pStyle w:val="TableHeader"/>
            </w:pPr>
            <w:r>
              <w:t xml:space="preserve">Category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Loss of containment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residual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mR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Low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Loss of containment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inherent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MF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Pool fire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inherent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MF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High</w:t>
            </w:r>
          </w:p>
        </w:tc>
      </w:tr>
      <w:tr>
        <w:trPr>
          <w:cantSplit/>
        </w:trPr>
        <w:tc>
          <w:tcPr>
            <w:tcW w:w="3600" w:type="dxa"/>
            <w:vAlign w:val="center"/>
          </w:tcPr>
          <w:p>
            <w:pPr>
              <w:pStyle w:val="TableText"/>
            </w:pPr>
            <w:r>
              <w:t xml:space="preserve">Pool fire</w:t>
            </w:r>
          </w:p>
        </w:tc>
        <w:tc>
          <w:tcPr>
            <w:tcW w:w="1800" w:type="dxa"/>
            <w:vAlign w:val="center"/>
          </w:tcPr>
          <w:p>
            <w:pPr>
              <w:pStyle w:val="TableText"/>
            </w:pPr>
            <w:r>
              <w:t xml:space="preserve">residual</w:t>
            </w:r>
          </w:p>
        </w:tc>
        <w:tc>
          <w:tcPr>
            <w:tcW w:w="1560" w:type="dxa"/>
            <w:vAlign w:val="center"/>
          </w:tcPr>
          <w:p>
            <w:pPr>
              <w:pStyle w:val="TableText"/>
            </w:pPr>
            <w:r>
              <w:t xml:space="preserve">MF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 xml:space="preserve">High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1"/>
      </w:pPr>
      <w:r>
        <w:t xml:space="preserve">Barrier effectiveness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500"/>
        <w:gridCol w:w="3500"/>
        <w:gridCol w:w="2360"/>
      </w:tblGrid>
      <w:tr>
        <w:trPr>
          <w:tblHeader/>
          <w:cantSplit/>
        </w:trPr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Barrier</w:t>
            </w:r>
          </w:p>
        </w:tc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Scenario parent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Effectiveness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Hose rupture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Effective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High-level trip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Tank overfill during transfer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Unassigned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Emergency isolation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Pool fire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Unassigned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Bund containment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Environmental release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Unassigned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Portable inspection light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Poor lighting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Unassigned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2"/>
      </w:pPr>
      <w:r>
        <w:t xml:space="preserve">Effectiveness definitions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900"/>
        <w:gridCol w:w="1900"/>
        <w:gridCol w:w="1200"/>
        <w:gridCol w:w="5360"/>
      </w:tblGrid>
      <w:tr>
        <w:trPr>
          <w:tblHeader/>
          <w:cantSplit/>
        </w:trPr>
        <w:tc>
          <w:tcPr>
            <w:tcW w:w="900" w:type="dxa"/>
            <w:shd w:fill="E9EFF1"/>
            <w:vAlign w:val="center"/>
          </w:tcPr>
          <w:p>
            <w:pPr>
              <w:pStyle w:val="TableHeader"/>
            </w:pPr>
            <w:r>
              <w:t xml:space="preserve">Code</w:t>
            </w:r>
          </w:p>
        </w:tc>
        <w:tc>
          <w:tcPr>
            <w:tcW w:w="1900" w:type="dxa"/>
            <w:shd w:fill="E9EFF1"/>
            <w:vAlign w:val="center"/>
          </w:tcPr>
          <w:p>
            <w:pPr>
              <w:pStyle w:val="TableHeader"/>
            </w:pPr>
            <w:r>
              <w:t xml:space="preserve">Value</w:t>
            </w:r>
          </w:p>
        </w:tc>
        <w:tc>
          <w:tcPr>
            <w:tcW w:w="1200" w:type="dxa"/>
            <w:shd w:fill="E9EFF1"/>
            <w:vAlign w:val="center"/>
          </w:tcPr>
          <w:p>
            <w:pPr>
              <w:pStyle w:val="TableHeader"/>
            </w:pPr>
            <w:r>
              <w:t xml:space="preserve">Color</w:t>
            </w:r>
          </w:p>
        </w:tc>
        <w:tc>
          <w:tcPr>
            <w:tcW w:w="53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metadata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E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Effective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#b9dfbb</w:t>
            </w:r>
          </w:p>
        </w:tc>
        <w:tc>
          <w:tcPr>
            <w:tcW w:w="5360" w:type="dxa"/>
            <w:vAlign w:val="center"/>
          </w:tcPr>
          <w:p>
            <w:pPr>
              <w:pStyle w:val="TableText"/>
            </w:pPr>
            <w:r>
              <w:t xml:space="preserve">description: Verified operational effectiveness; frequency: 0.25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1"/>
      </w:pPr>
      <w:r>
        <w:t xml:space="preserve">Actions register</w:t>
      </w:r>
    </w:p>
    <w:p>
      <w:pPr>
        <w:pStyle w:val="Heading2"/>
      </w:pPr>
      <w:r>
        <w:t xml:space="preserve">Improve inspection lighting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Parent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Responsible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Unassigned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Sign-off authority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Unassigned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Open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Improvement / ALARP rationale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Install fixed lighting; a practical improvement to inspection reliability. Review by the responsible team is required.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2"/>
      </w:pPr>
      <w:r>
        <w:t xml:space="preserve">Review isolation response</w:t>
      </w:r>
    </w:p>
    <w:p>
      <w:pPr>
        <w:pStyle w:val="Normal"/>
      </w:pPr>
      <w:r>
        <w:t xml:space="preserve">Procedure review complete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Parent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Pool fire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Responsible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Sign-off authority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Complete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Improvement / ALARP rationale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Team to review practicable improvements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Code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A-02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Sign-off comment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Reviewed by team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Sign-off date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2026-10-13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Target date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2026-11-01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1"/>
      </w:pPr>
      <w:r>
        <w:t xml:space="preserve">Supporting items and assignments</w:t>
      </w:r>
    </w:p>
    <w:p>
      <w:pPr>
        <w:pStyle w:val="Heading2"/>
      </w:pPr>
      <w:r>
        <w:t xml:space="preserve">Inspect transfer hose</w:t>
      </w:r>
    </w:p>
    <w:p>
      <w:pPr>
        <w:pStyle w:val="DetailLead"/>
      </w:pPr>
      <w:r>
        <w:t xml:space="preserve">Kind: activity. Parent: Example workshop.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Instructions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Use the hose condition checklist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Timing / frequency notes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Before each transfer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Verification method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Supervisor checks the signed inspection record</w:t>
            </w:r>
          </w:p>
        </w:tc>
      </w:tr>
    </w:tbl>
    <w:p>
      <w:pPr>
        <w:pStyle w:val="TableGap"/>
      </w:pPr>
      <w:r>
        <w:t xml:space="preserve"/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500"/>
        <w:gridCol w:w="2360"/>
        <w:gridCol w:w="3500"/>
      </w:tblGrid>
      <w:tr>
        <w:trPr>
          <w:tblHeader/>
          <w:cantSplit/>
        </w:trPr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Source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Relationship</w:t>
            </w:r>
          </w:p>
        </w:tc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document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Hose condition checklist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output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Signed hose inspection record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responsible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activity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2"/>
      </w:pPr>
      <w:r>
        <w:t xml:space="preserve">Transfer operator</w:t>
      </w:r>
    </w:p>
    <w:p>
      <w:pPr>
        <w:pStyle w:val="DetailLead"/>
      </w:pPr>
      <w:r>
        <w:t xml:space="preserve">Kind: job title. Parent: Example workshop.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500"/>
        <w:gridCol w:w="2360"/>
        <w:gridCol w:w="3500"/>
      </w:tblGrid>
      <w:tr>
        <w:trPr>
          <w:tblHeader/>
          <w:cantSplit/>
        </w:trPr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Source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Relationship</w:t>
            </w:r>
          </w:p>
        </w:tc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responsible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accountable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Review isolation response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action party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Review isolation response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sign off authority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2"/>
      </w:pPr>
      <w:r>
        <w:t xml:space="preserve">Signed hose inspection record</w:t>
      </w:r>
    </w:p>
    <w:p>
      <w:pPr>
        <w:pStyle w:val="DetailLead"/>
      </w:pPr>
      <w:r>
        <w:t xml:space="preserve">Kind: product. Parent: Example workshop.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Local evidence reference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records/inspection.txt</w:t>
            </w:r>
          </w:p>
        </w:tc>
      </w:tr>
    </w:tbl>
    <w:p>
      <w:pPr>
        <w:pStyle w:val="TableGap"/>
      </w:pPr>
      <w:r>
        <w:t xml:space="preserve"/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500"/>
        <w:gridCol w:w="2360"/>
        <w:gridCol w:w="3500"/>
      </w:tblGrid>
      <w:tr>
        <w:trPr>
          <w:tblHeader/>
          <w:cantSplit/>
        </w:trPr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Source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Relationship</w:t>
            </w:r>
          </w:p>
        </w:tc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output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Signed hose inspection record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2"/>
      </w:pPr>
      <w:r>
        <w:t xml:space="preserve">Hose condition checklist</w:t>
      </w:r>
    </w:p>
    <w:p>
      <w:pPr>
        <w:pStyle w:val="DetailLead"/>
      </w:pPr>
      <w:r>
        <w:t xml:space="preserve">Kind: document. Parent: Example workshop.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800"/>
        <w:gridCol w:w="6560"/>
      </w:tblGrid>
      <w:tr>
        <w:trPr>
          <w:tblHeader/>
          <w:cantSplit/>
        </w:trPr>
        <w:tc>
          <w:tcPr>
            <w:tcW w:w="2800" w:type="dxa"/>
            <w:shd w:fill="E9EFF1"/>
            <w:vAlign w:val="center"/>
          </w:tcPr>
          <w:p>
            <w:pPr>
              <w:pStyle w:val="TableHeader"/>
            </w:pPr>
            <w:r>
              <w:t xml:space="preserve">Property</w:t>
            </w:r>
          </w:p>
        </w:tc>
        <w:tc>
          <w:tcPr>
            <w:tcW w:w="6560" w:type="dxa"/>
            <w:shd w:fill="E9EFF1"/>
            <w:vAlign w:val="center"/>
          </w:tcPr>
          <w:p>
            <w:pPr>
              <w:pStyle w:val="TableHeader"/>
            </w:pPr>
            <w:r>
              <w:t xml:space="preserve">Recorded value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Local document reference</w:t>
            </w:r>
          </w:p>
        </w:tc>
        <w:tc>
          <w:tcPr>
            <w:tcW w:w="6560" w:type="dxa"/>
            <w:vAlign w:val="center"/>
          </w:tcPr>
          <w:p>
            <w:pPr>
              <w:pStyle w:val="TableText"/>
            </w:pPr>
            <w:r>
              <w:t xml:space="preserve">procedures/hose-checklist.txt</w:t>
            </w:r>
          </w:p>
        </w:tc>
      </w:tr>
    </w:tbl>
    <w:p>
      <w:pPr>
        <w:pStyle w:val="TableGap"/>
      </w:pPr>
      <w:r>
        <w:t xml:space="preserve"/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500"/>
        <w:gridCol w:w="2360"/>
        <w:gridCol w:w="3500"/>
      </w:tblGrid>
      <w:tr>
        <w:trPr>
          <w:tblHeader/>
          <w:cantSplit/>
        </w:trPr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Source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Relationship</w:t>
            </w:r>
          </w:p>
        </w:tc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document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Hose condition checklist</w:t>
            </w:r>
          </w:p>
        </w:tc>
      </w:tr>
    </w:tbl>
    <w:p>
      <w:pPr>
        <w:pStyle w:val="TableGap"/>
      </w:pPr>
      <w:r>
        <w:t xml:space="preserve"/>
      </w:r>
    </w:p>
    <w:p>
      <w:pPr>
        <w:pStyle w:val="Heading1"/>
      </w:pPr>
      <w:r>
        <w:t xml:space="preserve">All linked relationships</w:t>
      </w:r>
    </w:p>
    <w:tbl>
      <w:tblPr>
        <w:tblW w:w="936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3500"/>
        <w:gridCol w:w="2360"/>
        <w:gridCol w:w="3500"/>
      </w:tblGrid>
      <w:tr>
        <w:trPr>
          <w:tblHeader/>
          <w:cantSplit/>
        </w:trPr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Source</w:t>
            </w:r>
          </w:p>
        </w:tc>
        <w:tc>
          <w:tcPr>
            <w:tcW w:w="2360" w:type="dxa"/>
            <w:shd w:fill="E9EFF1"/>
            <w:vAlign w:val="center"/>
          </w:tcPr>
          <w:p>
            <w:pPr>
              <w:pStyle w:val="TableHeader"/>
            </w:pPr>
            <w:r>
              <w:t xml:space="preserve">Relationship</w:t>
            </w:r>
          </w:p>
        </w:tc>
        <w:tc>
          <w:tcPr>
            <w:tcW w:w="3500" w:type="dxa"/>
            <w:shd w:fill="E9EFF1"/>
            <w:vAlign w:val="center"/>
          </w:tcPr>
          <w:p>
            <w:pPr>
              <w:pStyle w:val="TableHeader"/>
            </w:pPr>
            <w:r>
              <w:t xml:space="preserve">Target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document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Hose condition checklist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output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Signed hose inspection record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responsible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accountable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Pre-transfer hose inspection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activity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Inspect transfer hose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Review isolation response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action party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  <w:tr>
        <w:trPr>
          <w:cantSplit/>
        </w:trPr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Review isolation response</w:t>
            </w:r>
          </w:p>
        </w:tc>
        <w:tc>
          <w:tcPr>
            <w:tcW w:w="2360" w:type="dxa"/>
            <w:vAlign w:val="center"/>
          </w:tcPr>
          <w:p>
            <w:pPr>
              <w:pStyle w:val="TableText"/>
            </w:pPr>
            <w:r>
              <w:t xml:space="preserve">sign off authority</w:t>
            </w:r>
          </w:p>
        </w:tc>
        <w:tc>
          <w:tcPr>
            <w:tcW w:w="3500" w:type="dxa"/>
            <w:vAlign w:val="center"/>
          </w:tcPr>
          <w:p>
            <w:pPr>
              <w:pStyle w:val="TableText"/>
            </w:pPr>
            <w:r>
              <w:t xml:space="preserve">Transfer operator</w:t>
            </w:r>
          </w:p>
        </w:tc>
      </w:tr>
    </w:tbl>
    <w:p>
      <w:pPr>
        <w:pStyle w:val="TableGap"/>
      </w:pPr>
      <w:r>
        <w:t xml:space="preserve"/>
      </w:r>
    </w:p>
    <w:sectPr>
      <w:pgSz w:w="12240" w:h="15840"/>
      <w:pgMar w:top="1080" w:right="1440" w:bottom="1080" w:left="1440" w:header="360" w:footer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">
    <w:embedRegular r:id="rIdFont" w:fontKey="{12345678-1234-1234-1234-123456789ABC}"/>
  </w:font>
</w:fonts>
</file>

<file path=word/styles.xml><?xml version="1.0" encoding="utf-8"?>
<w:styles xmlns:w="http://schemas.openxmlformats.org/wordprocessingml/2006/main">
  <w:docDefaults>
    <w:rPrDefault>
      <w:rPr>
        <w:rFonts w:ascii="Noto Sans" w:hAnsi="Noto Sans"/>
        <w:color w:val="000000"/>
        <w:sz w:val="22"/>
      </w:rPr>
    </w:rPrDefault>
    <w:pPrDefault>
      <w:pPr>
        <w:spacing w:after="120" w:line="276" w:lineRule="auto"/>
      </w:pPr>
    </w:pPrDefault>
  </w:docDefaults>
  <w:style w:type="paragraph" w:styleId="Normal" w:default="1">
    <w:name w:val="Normal"/>
    <w:pPr/>
    <w:rPr>
      <w:color w:val="000000"/>
      <w:sz w:val="22"/>
    </w:rPr>
  </w:style>
  <w:style w:type="paragraph" w:styleId="Title">
    <w:name w:val="Title"/>
    <w:basedOn w:val="Normal"/>
    <w:pPr>
      <w:keepNext/>
      <w:spacing w:before="220" w:after="100"/>
    </w:pPr>
    <w:rPr>
      <w:color w:val="000000"/>
      <w:sz w:val="40"/>
    </w:rPr>
  </w:style>
  <w:style w:type="paragraph" w:styleId="Subtitle">
    <w:name w:val="Subtitle"/>
    <w:basedOn w:val="Normal"/>
    <w:pPr/>
    <w:rPr>
      <w:color w:val="000000"/>
      <w:sz w:val="24"/>
    </w:rPr>
  </w:style>
  <w:style w:type="paragraph" w:styleId="Heading1">
    <w:name w:val="Heading1"/>
    <w:basedOn w:val="Normal"/>
    <w:pPr>
      <w:keepNext/>
      <w:spacing w:before="220" w:after="100"/>
    </w:pPr>
    <w:rPr>
      <w:color w:val="000000"/>
      <w:sz w:val="30"/>
      <w:b/>
    </w:rPr>
  </w:style>
  <w:style w:type="paragraph" w:styleId="Heading2">
    <w:name w:val="Heading2"/>
    <w:basedOn w:val="Normal"/>
    <w:pPr>
      <w:keepNext/>
      <w:spacing w:before="220" w:after="100"/>
    </w:pPr>
    <w:rPr>
      <w:color w:val="000000"/>
      <w:sz w:val="26"/>
      <w:b/>
    </w:rPr>
  </w:style>
  <w:style w:type="paragraph" w:styleId="Heading3">
    <w:name w:val="Heading3"/>
    <w:basedOn w:val="Normal"/>
    <w:pPr>
      <w:keepNext/>
      <w:spacing w:before="220" w:after="100"/>
    </w:pPr>
    <w:rPr>
      <w:color w:val="000000"/>
      <w:sz w:val="23"/>
      <w:b/>
    </w:rPr>
  </w:style>
  <w:style w:type="paragraph" w:styleId="TableText">
    <w:name w:val="TableText"/>
    <w:basedOn w:val="Normal"/>
    <w:pPr>
      <w:spacing w:after="0" w:line="260" w:lineRule="auto"/>
    </w:pPr>
    <w:rPr>
      <w:color w:val="000000"/>
      <w:sz w:val="21"/>
    </w:rPr>
  </w:style>
  <w:style w:type="paragraph" w:styleId="TableHeader">
    <w:name w:val="TableHeader"/>
    <w:basedOn w:val="Normal"/>
    <w:pPr>
      <w:keepNext/>
      <w:spacing w:after="0" w:line="260" w:lineRule="auto"/>
    </w:pPr>
    <w:rPr>
      <w:color w:val="000000"/>
      <w:sz w:val="21"/>
      <w:b/>
    </w:rPr>
  </w:style>
  <w:style w:type="paragraph" w:styleId="TableGap">
    <w:name w:val="TableGap"/>
    <w:basedOn w:val="Normal"/>
    <w:pPr>
      <w:spacing w:before="0" w:after="60" w:line="40" w:lineRule="exact"/>
    </w:pPr>
    <w:rPr>
      <w:color w:val="000000"/>
      <w:sz w:val="2"/>
    </w:rPr>
  </w:style>
  <w:style w:type="paragraph" w:styleId="DetailLead">
    <w:name w:val="DetailLead"/>
    <w:basedOn w:val="Normal"/>
    <w:pPr>
      <w:keepNext/>
    </w:pPr>
    <w:rPr>
      <w:color w:val="000000"/>
      <w:sz w:val="22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nts" Type="http://schemas.openxmlformats.org/officeDocument/2006/relationships/fontTable" Target="fontTable.xml"/></Relationships>
</file>

<file path=word/_rels/fontTable.xml.rels><?xml version="1.0"?><Relationships xmlns="http://schemas.openxmlformats.org/package/2006/relationships"><Relationship Id="rIdFont" Type="http://schemas.openxmlformats.org/officeDocument/2006/relationships/font" Target="fonts/NotoSans.odttf"/></Relationships>
</file>