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ccm-view-save-pic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css-sprites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dialogFix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erik-webview-initialization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erik/scaling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erik/sensitivity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erik/sharetargets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erik/startup-time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erik/toast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erik/webview-logging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erik/window-popups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getUserMedia-event-dialogs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invocation-list-sprite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master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menuService-hardening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network-connection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* network-connection-T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networkError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next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proxy-fix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rcruz/sendEventAPI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sharetargets-api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ssl-handshake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test-push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twg_ui-elements-pps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ui-elements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webview-manager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FRAMERWORK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background-color-fix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box2box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ccm-view-save-pic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compileUiRemoval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erik-invoke-refactor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* erik-window-popups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erik/startup-time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erik/toast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erik/window-popups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file-accept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master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network-connection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network-connection-T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network-connection-rpc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next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next-more-flicker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next-system-timezone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pictureViewer-card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proxy-fix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shareTargets-API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twit-link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ui-elements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webInspectorDialogFix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webview-initialization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webview-to-clientWebView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webworks-onStateChanged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