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000"/>
        <w:jc w:val="center"/>
      </w:pPr>
      <w:r>
        <w:rPr>
          <w:rFonts w:ascii="Times New Roman" w:cs="Times New Roman" w:eastAsia="Times New Roman" w:hAnsi="Times New Roman"/>
          <w:b/>
          <w:bCs/>
          <w:i w:val="false"/>
          <w:iCs w:val="false"/>
          <w:color w:val="000000"/>
          <w:sz w:val="24"/>
          <w:szCs w:val="24"/>
        </w:rPr>
        <w:t xml:space="preserve">KIIRA MOTORS CORPORATION</w:t>
      </w:r>
    </w:p>
    <w:p>
      <w:pPr>
        <w:spacing w:after="700"/>
        <w:jc w:val="center"/>
      </w:pPr>
      <w:r>
        <w:rPr>
          <w:rFonts w:ascii="Times New Roman" w:cs="Times New Roman" w:eastAsia="Times New Roman" w:hAnsi="Times New Roman"/>
          <w:b/>
          <w:bCs/>
          <w:i w:val="false"/>
          <w:iCs w:val="false"/>
          <w:color w:val="000000"/>
          <w:sz w:val="24"/>
          <w:szCs w:val="24"/>
        </w:rPr>
        <w:t xml:space="preserve">HEALTH AND WELLNESS MANAGEMENT SYSTEM</w:t>
      </w:r>
    </w:p>
    <w:p>
      <w:pPr>
        <w:spacing w:after="900"/>
        <w:jc w:val="center"/>
      </w:pPr>
      <w:r>
        <w:rPr>
          <w:rFonts w:ascii="Times New Roman" w:cs="Times New Roman" w:eastAsia="Times New Roman" w:hAnsi="Times New Roman"/>
          <w:b/>
          <w:bCs/>
          <w:i w:val="false"/>
          <w:iCs w:val="false"/>
          <w:color w:val="000000"/>
          <w:sz w:val="24"/>
          <w:szCs w:val="24"/>
        </w:rPr>
        <w:t xml:space="preserve">INFORMATION SECURITY REVIEW</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7146"/>
      </w:tblGrid>
      <w:tr>
        <w:trPr>
          <w:tblHeader/>
        </w:trPr>
        <w:tc>
          <w:tcPr>
            <w:tcW w:type="dxa" w:w="2600"/>
            <w:tcBorders>
              <w:top w:val="single" w:color="000000" w:sz="4"/>
              <w:left w:val="single" w:color="000000" w:sz="4"/>
              <w:bottom w:val="single" w:color="000000" w:sz="4"/>
              <w:right w:val="single" w:color="000000" w:sz="4"/>
            </w:tcBorders>
            <w:shd w:fill="D9D9D9" w:color="auto" w:val="clear"/>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bCs/>
                <w:i w:val="false"/>
                <w:iCs w:val="false"/>
                <w:color w:val="000000"/>
                <w:sz w:val="20"/>
                <w:szCs w:val="20"/>
              </w:rPr>
              <w:t xml:space="preserve">Field</w:t>
            </w:r>
          </w:p>
        </w:tc>
        <w:tc>
          <w:tcPr>
            <w:tcW w:type="dxa" w:w="7146"/>
            <w:tcBorders>
              <w:top w:val="single" w:color="000000" w:sz="4"/>
              <w:left w:val="single" w:color="000000" w:sz="4"/>
              <w:bottom w:val="single" w:color="000000" w:sz="4"/>
              <w:right w:val="single" w:color="000000" w:sz="4"/>
            </w:tcBorders>
            <w:shd w:fill="D9D9D9" w:color="auto" w:val="clear"/>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bCs/>
                <w:i w:val="false"/>
                <w:iCs w:val="false"/>
                <w:color w:val="000000"/>
                <w:sz w:val="20"/>
                <w:szCs w:val="20"/>
              </w:rPr>
              <w:t xml:space="preserve">Detail</w:t>
            </w:r>
          </w:p>
        </w:tc>
      </w:tr>
      <w:tr>
        <w:tc>
          <w:tcPr>
            <w:tcW w:type="dxa" w:w="26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Document name</w:t>
            </w:r>
          </w:p>
        </w:tc>
        <w:tc>
          <w:tcPr>
            <w:tcW w:type="dxa" w:w="7146"/>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Information security review</w:t>
            </w:r>
          </w:p>
        </w:tc>
      </w:tr>
      <w:tr>
        <w:tc>
          <w:tcPr>
            <w:tcW w:type="dxa" w:w="26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Reference number</w:t>
            </w:r>
          </w:p>
        </w:tc>
        <w:tc>
          <w:tcPr>
            <w:tcW w:type="dxa" w:w="7146"/>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KMC.DQHSE.08/26-SP003</w:t>
            </w:r>
          </w:p>
        </w:tc>
      </w:tr>
      <w:tr>
        <w:tc>
          <w:tcPr>
            <w:tcW w:type="dxa" w:w="26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Document description</w:t>
            </w:r>
          </w:p>
        </w:tc>
        <w:tc>
          <w:tcPr>
            <w:tcW w:type="dxa" w:w="7146"/>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Security assessment of the Health and Wellness Management System covering identity, clinical confidentiality, data protection, audit and the remediation required before user testing</w:t>
            </w:r>
          </w:p>
        </w:tc>
      </w:tr>
      <w:tr>
        <w:tc>
          <w:tcPr>
            <w:tcW w:type="dxa" w:w="26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Prepared by</w:t>
            </w:r>
          </w:p>
        </w:tc>
        <w:tc>
          <w:tcPr>
            <w:tcW w:type="dxa" w:w="7146"/>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Akanga Andrew, Software Engineering Intern, Department of Quality, Health, Safety and Environment</w:t>
            </w:r>
          </w:p>
        </w:tc>
      </w:tr>
      <w:tr>
        <w:tc>
          <w:tcPr>
            <w:tcW w:type="dxa" w:w="26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Issue date</w:t>
            </w:r>
          </w:p>
        </w:tc>
        <w:tc>
          <w:tcPr>
            <w:tcW w:type="dxa" w:w="7146"/>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21/08/2026</w:t>
            </w:r>
          </w:p>
        </w:tc>
      </w:tr>
      <w:tr>
        <w:tc>
          <w:tcPr>
            <w:tcW w:type="dxa" w:w="26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Version</w:t>
            </w:r>
          </w:p>
        </w:tc>
        <w:tc>
          <w:tcPr>
            <w:tcW w:type="dxa" w:w="7146"/>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003</w:t>
            </w:r>
          </w:p>
        </w:tc>
      </w:tr>
      <w:tr>
        <w:tc>
          <w:tcPr>
            <w:tcW w:type="dxa" w:w="26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Classification</w:t>
            </w:r>
          </w:p>
        </w:tc>
        <w:tc>
          <w:tcPr>
            <w:tcW w:type="dxa" w:w="7146"/>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Confidential, Restricted to KMC ICT, the data protection owner and departmental management</w:t>
            </w:r>
          </w:p>
        </w:tc>
      </w:tr>
    </w:tbl>
    <w:p>
      <w:r>
        <w:br w:type="page"/>
      </w:r>
    </w:p>
    <w:p>
      <w:pPr>
        <w:spacing w:after="200" w:before="240"/>
        <w:jc w:val="left"/>
      </w:pPr>
      <w:r>
        <w:rPr>
          <w:rFonts w:ascii="Times New Roman" w:cs="Times New Roman" w:eastAsia="Times New Roman" w:hAnsi="Times New Roman"/>
          <w:b/>
          <w:bCs/>
          <w:i w:val="false"/>
          <w:iCs w:val="false"/>
          <w:color w:val="000000"/>
          <w:sz w:val="24"/>
          <w:szCs w:val="24"/>
        </w:rPr>
        <w:t xml:space="preserve">Table of Contents</w:t>
      </w:r>
    </w:p>
    <w:p>
      <w:pPr>
        <w:tabs>
          <w:tab w:val="right" w:pos="9746" w:leader="dot"/>
        </w:tabs>
        <w:spacing w:after="60" w:line="260" w:lineRule="auto"/>
        <w:ind w:left="0" w:right="0" w:firstLine="0"/>
        <w:jc w:val="left"/>
      </w:pPr>
      <w:hyperlink w:history="1" w:anchor="h_1">
        <w:r>
          <w:rPr>
            <w:rFonts w:ascii="Times New Roman" w:cs="Times New Roman" w:eastAsia="Times New Roman" w:hAnsi="Times New Roman"/>
            <w:b w:val="false"/>
            <w:bCs w:val="false"/>
            <w:i w:val="false"/>
            <w:iCs w:val="false"/>
            <w:color w:val="000000"/>
            <w:sz w:val="24"/>
            <w:szCs w:val="24"/>
          </w:rPr>
          <w:t xml:space="preserve">1 Introduction</w:t>
        </w:r>
        <w:r>
          <w:rPr>
            <w:rFonts w:ascii="Times New Roman" w:cs="Times New Roman" w:eastAsia="Times New Roman" w:hAnsi="Times New Roman"/>
            <w:color w:val="000000"/>
            <w:sz w:val="24"/>
            <w:szCs w:val="24"/>
          </w:rPr>
          <w:tab/>
        </w:r>
        <w:r>
          <w:rPr>
            <w:rFonts w:ascii="Times New Roman" w:cs="Times New Roman" w:eastAsia="Times New Roman" w:hAnsi="Times New Roman"/>
            <w:b w:val="false"/>
            <w:bCs w:val="false"/>
            <w:i w:val="false"/>
            <w:iCs w:val="false"/>
            <w:color w:val="000000"/>
            <w:sz w:val="24"/>
            <w:szCs w:val="24"/>
          </w:rPr>
          <w:t xml:space="preserve">4</w:t>
        </w:r>
      </w:hyperlink>
    </w:p>
    <w:p>
      <w:pPr>
        <w:tabs>
          <w:tab w:val="right" w:pos="9746" w:leader="dot"/>
        </w:tabs>
        <w:spacing w:after="60" w:line="260" w:lineRule="auto"/>
        <w:ind w:left="280" w:right="0" w:firstLine="0"/>
        <w:jc w:val="left"/>
      </w:pPr>
      <w:hyperlink w:history="1" w:anchor="h_2">
        <w:r>
          <w:rPr>
            <w:rFonts w:ascii="Times New Roman" w:cs="Times New Roman" w:eastAsia="Times New Roman" w:hAnsi="Times New Roman"/>
            <w:b w:val="false"/>
            <w:bCs w:val="false"/>
            <w:i w:val="false"/>
            <w:iCs w:val="false"/>
            <w:color w:val="000000"/>
            <w:sz w:val="24"/>
            <w:szCs w:val="24"/>
          </w:rPr>
          <w:t xml:space="preserve">1.1 Purpose</w:t>
        </w:r>
        <w:r>
          <w:rPr>
            <w:rFonts w:ascii="Times New Roman" w:cs="Times New Roman" w:eastAsia="Times New Roman" w:hAnsi="Times New Roman"/>
            <w:color w:val="000000"/>
            <w:sz w:val="24"/>
            <w:szCs w:val="24"/>
          </w:rPr>
          <w:tab/>
        </w:r>
        <w:r>
          <w:rPr>
            <w:rFonts w:ascii="Times New Roman" w:cs="Times New Roman" w:eastAsia="Times New Roman" w:hAnsi="Times New Roman"/>
            <w:b w:val="false"/>
            <w:bCs w:val="false"/>
            <w:i w:val="false"/>
            <w:iCs w:val="false"/>
            <w:color w:val="000000"/>
            <w:sz w:val="24"/>
            <w:szCs w:val="24"/>
          </w:rPr>
          <w:t xml:space="preserve">4</w:t>
        </w:r>
      </w:hyperlink>
    </w:p>
    <w:p>
      <w:pPr>
        <w:tabs>
          <w:tab w:val="right" w:pos="9746" w:leader="dot"/>
        </w:tabs>
        <w:spacing w:after="60" w:line="260" w:lineRule="auto"/>
        <w:ind w:left="280" w:right="0" w:firstLine="0"/>
        <w:jc w:val="left"/>
      </w:pPr>
      <w:hyperlink w:history="1" w:anchor="h_3">
        <w:r>
          <w:rPr>
            <w:rFonts w:ascii="Times New Roman" w:cs="Times New Roman" w:eastAsia="Times New Roman" w:hAnsi="Times New Roman"/>
            <w:b w:val="false"/>
            <w:bCs w:val="false"/>
            <w:i w:val="false"/>
            <w:iCs w:val="false"/>
            <w:color w:val="000000"/>
            <w:sz w:val="24"/>
            <w:szCs w:val="24"/>
          </w:rPr>
          <w:t xml:space="preserve">1.2 Why this system warrants a review</w:t>
        </w:r>
        <w:r>
          <w:rPr>
            <w:rFonts w:ascii="Times New Roman" w:cs="Times New Roman" w:eastAsia="Times New Roman" w:hAnsi="Times New Roman"/>
            <w:color w:val="000000"/>
            <w:sz w:val="24"/>
            <w:szCs w:val="24"/>
          </w:rPr>
          <w:tab/>
        </w:r>
        <w:r>
          <w:rPr>
            <w:rFonts w:ascii="Times New Roman" w:cs="Times New Roman" w:eastAsia="Times New Roman" w:hAnsi="Times New Roman"/>
            <w:b w:val="false"/>
            <w:bCs w:val="false"/>
            <w:i w:val="false"/>
            <w:iCs w:val="false"/>
            <w:color w:val="000000"/>
            <w:sz w:val="24"/>
            <w:szCs w:val="24"/>
          </w:rPr>
          <w:t xml:space="preserve">4</w:t>
        </w:r>
      </w:hyperlink>
    </w:p>
    <w:p>
      <w:pPr>
        <w:tabs>
          <w:tab w:val="right" w:pos="9746" w:leader="dot"/>
        </w:tabs>
        <w:spacing w:after="60" w:line="260" w:lineRule="auto"/>
        <w:ind w:left="280" w:right="0" w:firstLine="0"/>
        <w:jc w:val="left"/>
      </w:pPr>
      <w:hyperlink w:history="1" w:anchor="h_4">
        <w:r>
          <w:rPr>
            <w:rFonts w:ascii="Times New Roman" w:cs="Times New Roman" w:eastAsia="Times New Roman" w:hAnsi="Times New Roman"/>
            <w:b w:val="false"/>
            <w:bCs w:val="false"/>
            <w:i w:val="false"/>
            <w:iCs w:val="false"/>
            <w:color w:val="000000"/>
            <w:sz w:val="24"/>
            <w:szCs w:val="24"/>
          </w:rPr>
          <w:t xml:space="preserve">1.3 Scope</w:t>
        </w:r>
        <w:r>
          <w:rPr>
            <w:rFonts w:ascii="Times New Roman" w:cs="Times New Roman" w:eastAsia="Times New Roman" w:hAnsi="Times New Roman"/>
            <w:color w:val="000000"/>
            <w:sz w:val="24"/>
            <w:szCs w:val="24"/>
          </w:rPr>
          <w:tab/>
        </w:r>
        <w:r>
          <w:rPr>
            <w:rFonts w:ascii="Times New Roman" w:cs="Times New Roman" w:eastAsia="Times New Roman" w:hAnsi="Times New Roman"/>
            <w:b w:val="false"/>
            <w:bCs w:val="false"/>
            <w:i w:val="false"/>
            <w:iCs w:val="false"/>
            <w:color w:val="000000"/>
            <w:sz w:val="24"/>
            <w:szCs w:val="24"/>
          </w:rPr>
          <w:t xml:space="preserve">4</w:t>
        </w:r>
      </w:hyperlink>
    </w:p>
    <w:p>
      <w:pPr>
        <w:tabs>
          <w:tab w:val="right" w:pos="9746" w:leader="dot"/>
        </w:tabs>
        <w:spacing w:after="60" w:line="260" w:lineRule="auto"/>
        <w:ind w:left="280" w:right="0" w:firstLine="0"/>
        <w:jc w:val="left"/>
      </w:pPr>
      <w:hyperlink w:history="1" w:anchor="h_5">
        <w:r>
          <w:rPr>
            <w:rFonts w:ascii="Times New Roman" w:cs="Times New Roman" w:eastAsia="Times New Roman" w:hAnsi="Times New Roman"/>
            <w:b w:val="false"/>
            <w:bCs w:val="false"/>
            <w:i w:val="false"/>
            <w:iCs w:val="false"/>
            <w:color w:val="000000"/>
            <w:sz w:val="24"/>
            <w:szCs w:val="24"/>
          </w:rPr>
          <w:t xml:space="preserve">1.4 Severity scale</w:t>
        </w:r>
        <w:r>
          <w:rPr>
            <w:rFonts w:ascii="Times New Roman" w:cs="Times New Roman" w:eastAsia="Times New Roman" w:hAnsi="Times New Roman"/>
            <w:color w:val="000000"/>
            <w:sz w:val="24"/>
            <w:szCs w:val="24"/>
          </w:rPr>
          <w:tab/>
        </w:r>
        <w:r>
          <w:rPr>
            <w:rFonts w:ascii="Times New Roman" w:cs="Times New Roman" w:eastAsia="Times New Roman" w:hAnsi="Times New Roman"/>
            <w:b w:val="false"/>
            <w:bCs w:val="false"/>
            <w:i w:val="false"/>
            <w:iCs w:val="false"/>
            <w:color w:val="000000"/>
            <w:sz w:val="24"/>
            <w:szCs w:val="24"/>
          </w:rPr>
          <w:t xml:space="preserve">4</w:t>
        </w:r>
      </w:hyperlink>
    </w:p>
    <w:p>
      <w:pPr>
        <w:tabs>
          <w:tab w:val="right" w:pos="9746" w:leader="dot"/>
        </w:tabs>
        <w:spacing w:after="60" w:line="260" w:lineRule="auto"/>
        <w:ind w:left="0" w:right="0" w:firstLine="0"/>
        <w:jc w:val="left"/>
      </w:pPr>
      <w:hyperlink w:history="1" w:anchor="h_6">
        <w:r>
          <w:rPr>
            <w:rFonts w:ascii="Times New Roman" w:cs="Times New Roman" w:eastAsia="Times New Roman" w:hAnsi="Times New Roman"/>
            <w:b w:val="false"/>
            <w:bCs w:val="false"/>
            <w:i w:val="false"/>
            <w:iCs w:val="false"/>
            <w:color w:val="000000"/>
            <w:sz w:val="24"/>
            <w:szCs w:val="24"/>
          </w:rPr>
          <w:t xml:space="preserve">2 Security architecture</w:t>
        </w:r>
        <w:r>
          <w:rPr>
            <w:rFonts w:ascii="Times New Roman" w:cs="Times New Roman" w:eastAsia="Times New Roman" w:hAnsi="Times New Roman"/>
            <w:color w:val="000000"/>
            <w:sz w:val="24"/>
            <w:szCs w:val="24"/>
          </w:rPr>
          <w:tab/>
        </w:r>
        <w:r>
          <w:rPr>
            <w:rFonts w:ascii="Times New Roman" w:cs="Times New Roman" w:eastAsia="Times New Roman" w:hAnsi="Times New Roman"/>
            <w:b w:val="false"/>
            <w:bCs w:val="false"/>
            <w:i w:val="false"/>
            <w:iCs w:val="false"/>
            <w:color w:val="000000"/>
            <w:sz w:val="24"/>
            <w:szCs w:val="24"/>
          </w:rPr>
          <w:t xml:space="preserve">5</w:t>
        </w:r>
      </w:hyperlink>
    </w:p>
    <w:p>
      <w:pPr>
        <w:tabs>
          <w:tab w:val="right" w:pos="9746" w:leader="dot"/>
        </w:tabs>
        <w:spacing w:after="60" w:line="260" w:lineRule="auto"/>
        <w:ind w:left="280" w:right="0" w:firstLine="0"/>
        <w:jc w:val="left"/>
      </w:pPr>
      <w:hyperlink w:history="1" w:anchor="h_7">
        <w:r>
          <w:rPr>
            <w:rFonts w:ascii="Times New Roman" w:cs="Times New Roman" w:eastAsia="Times New Roman" w:hAnsi="Times New Roman"/>
            <w:b w:val="false"/>
            <w:bCs w:val="false"/>
            <w:i w:val="false"/>
            <w:iCs w:val="false"/>
            <w:color w:val="000000"/>
            <w:sz w:val="24"/>
            <w:szCs w:val="24"/>
          </w:rPr>
          <w:t xml:space="preserve">2.1 Identity and session</w:t>
        </w:r>
        <w:r>
          <w:rPr>
            <w:rFonts w:ascii="Times New Roman" w:cs="Times New Roman" w:eastAsia="Times New Roman" w:hAnsi="Times New Roman"/>
            <w:color w:val="000000"/>
            <w:sz w:val="24"/>
            <w:szCs w:val="24"/>
          </w:rPr>
          <w:tab/>
        </w:r>
        <w:r>
          <w:rPr>
            <w:rFonts w:ascii="Times New Roman" w:cs="Times New Roman" w:eastAsia="Times New Roman" w:hAnsi="Times New Roman"/>
            <w:b w:val="false"/>
            <w:bCs w:val="false"/>
            <w:i w:val="false"/>
            <w:iCs w:val="false"/>
            <w:color w:val="000000"/>
            <w:sz w:val="24"/>
            <w:szCs w:val="24"/>
          </w:rPr>
          <w:t xml:space="preserve">5</w:t>
        </w:r>
      </w:hyperlink>
    </w:p>
    <w:p>
      <w:pPr>
        <w:tabs>
          <w:tab w:val="right" w:pos="9746" w:leader="dot"/>
        </w:tabs>
        <w:spacing w:after="60" w:line="260" w:lineRule="auto"/>
        <w:ind w:left="280" w:right="0" w:firstLine="0"/>
        <w:jc w:val="left"/>
      </w:pPr>
      <w:hyperlink w:history="1" w:anchor="h_8">
        <w:r>
          <w:rPr>
            <w:rFonts w:ascii="Times New Roman" w:cs="Times New Roman" w:eastAsia="Times New Roman" w:hAnsi="Times New Roman"/>
            <w:b w:val="false"/>
            <w:bCs w:val="false"/>
            <w:i w:val="false"/>
            <w:iCs w:val="false"/>
            <w:color w:val="000000"/>
            <w:sz w:val="24"/>
            <w:szCs w:val="24"/>
          </w:rPr>
          <w:t xml:space="preserve">2.2 Authorisation</w:t>
        </w:r>
        <w:r>
          <w:rPr>
            <w:rFonts w:ascii="Times New Roman" w:cs="Times New Roman" w:eastAsia="Times New Roman" w:hAnsi="Times New Roman"/>
            <w:color w:val="000000"/>
            <w:sz w:val="24"/>
            <w:szCs w:val="24"/>
          </w:rPr>
          <w:tab/>
        </w:r>
        <w:r>
          <w:rPr>
            <w:rFonts w:ascii="Times New Roman" w:cs="Times New Roman" w:eastAsia="Times New Roman" w:hAnsi="Times New Roman"/>
            <w:b w:val="false"/>
            <w:bCs w:val="false"/>
            <w:i w:val="false"/>
            <w:iCs w:val="false"/>
            <w:color w:val="000000"/>
            <w:sz w:val="24"/>
            <w:szCs w:val="24"/>
          </w:rPr>
          <w:t xml:space="preserve">5</w:t>
        </w:r>
      </w:hyperlink>
    </w:p>
    <w:p>
      <w:pPr>
        <w:tabs>
          <w:tab w:val="right" w:pos="9746" w:leader="dot"/>
        </w:tabs>
        <w:spacing w:after="60" w:line="260" w:lineRule="auto"/>
        <w:ind w:left="280" w:right="0" w:firstLine="0"/>
        <w:jc w:val="left"/>
      </w:pPr>
      <w:hyperlink w:history="1" w:anchor="h_9">
        <w:r>
          <w:rPr>
            <w:rFonts w:ascii="Times New Roman" w:cs="Times New Roman" w:eastAsia="Times New Roman" w:hAnsi="Times New Roman"/>
            <w:b w:val="false"/>
            <w:bCs w:val="false"/>
            <w:i w:val="false"/>
            <w:iCs w:val="false"/>
            <w:color w:val="000000"/>
            <w:sz w:val="24"/>
            <w:szCs w:val="24"/>
          </w:rPr>
          <w:t xml:space="preserve">2.3 Clinical confidentiality</w:t>
        </w:r>
        <w:r>
          <w:rPr>
            <w:rFonts w:ascii="Times New Roman" w:cs="Times New Roman" w:eastAsia="Times New Roman" w:hAnsi="Times New Roman"/>
            <w:color w:val="000000"/>
            <w:sz w:val="24"/>
            <w:szCs w:val="24"/>
          </w:rPr>
          <w:tab/>
        </w:r>
        <w:r>
          <w:rPr>
            <w:rFonts w:ascii="Times New Roman" w:cs="Times New Roman" w:eastAsia="Times New Roman" w:hAnsi="Times New Roman"/>
            <w:b w:val="false"/>
            <w:bCs w:val="false"/>
            <w:i w:val="false"/>
            <w:iCs w:val="false"/>
            <w:color w:val="000000"/>
            <w:sz w:val="24"/>
            <w:szCs w:val="24"/>
          </w:rPr>
          <w:t xml:space="preserve">5</w:t>
        </w:r>
      </w:hyperlink>
    </w:p>
    <w:p>
      <w:pPr>
        <w:tabs>
          <w:tab w:val="right" w:pos="9746" w:leader="dot"/>
        </w:tabs>
        <w:spacing w:after="60" w:line="260" w:lineRule="auto"/>
        <w:ind w:left="280" w:right="0" w:firstLine="0"/>
        <w:jc w:val="left"/>
      </w:pPr>
      <w:hyperlink w:history="1" w:anchor="h_10">
        <w:r>
          <w:rPr>
            <w:rFonts w:ascii="Times New Roman" w:cs="Times New Roman" w:eastAsia="Times New Roman" w:hAnsi="Times New Roman"/>
            <w:b w:val="false"/>
            <w:bCs w:val="false"/>
            <w:i w:val="false"/>
            <w:iCs w:val="false"/>
            <w:color w:val="000000"/>
            <w:sz w:val="24"/>
            <w:szCs w:val="24"/>
          </w:rPr>
          <w:t xml:space="preserve">2.4 Access logging</w:t>
        </w:r>
        <w:r>
          <w:rPr>
            <w:rFonts w:ascii="Times New Roman" w:cs="Times New Roman" w:eastAsia="Times New Roman" w:hAnsi="Times New Roman"/>
            <w:color w:val="000000"/>
            <w:sz w:val="24"/>
            <w:szCs w:val="24"/>
          </w:rPr>
          <w:tab/>
        </w:r>
        <w:r>
          <w:rPr>
            <w:rFonts w:ascii="Times New Roman" w:cs="Times New Roman" w:eastAsia="Times New Roman" w:hAnsi="Times New Roman"/>
            <w:b w:val="false"/>
            <w:bCs w:val="false"/>
            <w:i w:val="false"/>
            <w:iCs w:val="false"/>
            <w:color w:val="000000"/>
            <w:sz w:val="24"/>
            <w:szCs w:val="24"/>
          </w:rPr>
          <w:t xml:space="preserve">6</w:t>
        </w:r>
      </w:hyperlink>
    </w:p>
    <w:p>
      <w:pPr>
        <w:tabs>
          <w:tab w:val="right" w:pos="9746" w:leader="dot"/>
        </w:tabs>
        <w:spacing w:after="60" w:line="260" w:lineRule="auto"/>
        <w:ind w:left="280" w:right="0" w:firstLine="0"/>
        <w:jc w:val="left"/>
      </w:pPr>
      <w:hyperlink w:history="1" w:anchor="h_11">
        <w:r>
          <w:rPr>
            <w:rFonts w:ascii="Times New Roman" w:cs="Times New Roman" w:eastAsia="Times New Roman" w:hAnsi="Times New Roman"/>
            <w:b w:val="false"/>
            <w:bCs w:val="false"/>
            <w:i w:val="false"/>
            <w:iCs w:val="false"/>
            <w:color w:val="000000"/>
            <w:sz w:val="24"/>
            <w:szCs w:val="24"/>
          </w:rPr>
          <w:t xml:space="preserve">2.5 Telemetry minimisation</w:t>
        </w:r>
        <w:r>
          <w:rPr>
            <w:rFonts w:ascii="Times New Roman" w:cs="Times New Roman" w:eastAsia="Times New Roman" w:hAnsi="Times New Roman"/>
            <w:color w:val="000000"/>
            <w:sz w:val="24"/>
            <w:szCs w:val="24"/>
          </w:rPr>
          <w:tab/>
        </w:r>
        <w:r>
          <w:rPr>
            <w:rFonts w:ascii="Times New Roman" w:cs="Times New Roman" w:eastAsia="Times New Roman" w:hAnsi="Times New Roman"/>
            <w:b w:val="false"/>
            <w:bCs w:val="false"/>
            <w:i w:val="false"/>
            <w:iCs w:val="false"/>
            <w:color w:val="000000"/>
            <w:sz w:val="24"/>
            <w:szCs w:val="24"/>
          </w:rPr>
          <w:t xml:space="preserve">6</w:t>
        </w:r>
      </w:hyperlink>
    </w:p>
    <w:p>
      <w:pPr>
        <w:tabs>
          <w:tab w:val="right" w:pos="9746" w:leader="dot"/>
        </w:tabs>
        <w:spacing w:after="60" w:line="260" w:lineRule="auto"/>
        <w:ind w:left="280" w:right="0" w:firstLine="0"/>
        <w:jc w:val="left"/>
      </w:pPr>
      <w:hyperlink w:history="1" w:anchor="h_12">
        <w:r>
          <w:rPr>
            <w:rFonts w:ascii="Times New Roman" w:cs="Times New Roman" w:eastAsia="Times New Roman" w:hAnsi="Times New Roman"/>
            <w:b w:val="false"/>
            <w:bCs w:val="false"/>
            <w:i w:val="false"/>
            <w:iCs w:val="false"/>
            <w:color w:val="000000"/>
            <w:sz w:val="24"/>
            <w:szCs w:val="24"/>
          </w:rPr>
          <w:t xml:space="preserve">2.6 Referral integrity at creation</w:t>
        </w:r>
        <w:r>
          <w:rPr>
            <w:rFonts w:ascii="Times New Roman" w:cs="Times New Roman" w:eastAsia="Times New Roman" w:hAnsi="Times New Roman"/>
            <w:color w:val="000000"/>
            <w:sz w:val="24"/>
            <w:szCs w:val="24"/>
          </w:rPr>
          <w:tab/>
        </w:r>
        <w:r>
          <w:rPr>
            <w:rFonts w:ascii="Times New Roman" w:cs="Times New Roman" w:eastAsia="Times New Roman" w:hAnsi="Times New Roman"/>
            <w:b w:val="false"/>
            <w:bCs w:val="false"/>
            <w:i w:val="false"/>
            <w:iCs w:val="false"/>
            <w:color w:val="000000"/>
            <w:sz w:val="24"/>
            <w:szCs w:val="24"/>
          </w:rPr>
          <w:t xml:space="preserve">7</w:t>
        </w:r>
      </w:hyperlink>
    </w:p>
    <w:p>
      <w:pPr>
        <w:tabs>
          <w:tab w:val="right" w:pos="9746" w:leader="dot"/>
        </w:tabs>
        <w:spacing w:after="60" w:line="260" w:lineRule="auto"/>
        <w:ind w:left="280" w:right="0" w:firstLine="0"/>
        <w:jc w:val="left"/>
      </w:pPr>
      <w:hyperlink w:history="1" w:anchor="h_13">
        <w:r>
          <w:rPr>
            <w:rFonts w:ascii="Times New Roman" w:cs="Times New Roman" w:eastAsia="Times New Roman" w:hAnsi="Times New Roman"/>
            <w:b w:val="false"/>
            <w:bCs w:val="false"/>
            <w:i w:val="false"/>
            <w:iCs w:val="false"/>
            <w:color w:val="000000"/>
            <w:sz w:val="24"/>
            <w:szCs w:val="24"/>
          </w:rPr>
          <w:t xml:space="preserve">2.7 Clinical to metrics boundary</w:t>
        </w:r>
        <w:r>
          <w:rPr>
            <w:rFonts w:ascii="Times New Roman" w:cs="Times New Roman" w:eastAsia="Times New Roman" w:hAnsi="Times New Roman"/>
            <w:color w:val="000000"/>
            <w:sz w:val="24"/>
            <w:szCs w:val="24"/>
          </w:rPr>
          <w:tab/>
        </w:r>
        <w:r>
          <w:rPr>
            <w:rFonts w:ascii="Times New Roman" w:cs="Times New Roman" w:eastAsia="Times New Roman" w:hAnsi="Times New Roman"/>
            <w:b w:val="false"/>
            <w:bCs w:val="false"/>
            <w:i w:val="false"/>
            <w:iCs w:val="false"/>
            <w:color w:val="000000"/>
            <w:sz w:val="24"/>
            <w:szCs w:val="24"/>
          </w:rPr>
          <w:t xml:space="preserve">7</w:t>
        </w:r>
      </w:hyperlink>
    </w:p>
    <w:p>
      <w:pPr>
        <w:tabs>
          <w:tab w:val="right" w:pos="9746" w:leader="dot"/>
        </w:tabs>
        <w:spacing w:after="60" w:line="260" w:lineRule="auto"/>
        <w:ind w:left="0" w:right="0" w:firstLine="0"/>
        <w:jc w:val="left"/>
      </w:pPr>
      <w:hyperlink w:history="1" w:anchor="h_14">
        <w:r>
          <w:rPr>
            <w:rFonts w:ascii="Times New Roman" w:cs="Times New Roman" w:eastAsia="Times New Roman" w:hAnsi="Times New Roman"/>
            <w:b w:val="false"/>
            <w:bCs w:val="false"/>
            <w:i w:val="false"/>
            <w:iCs w:val="false"/>
            <w:color w:val="000000"/>
            <w:sz w:val="24"/>
            <w:szCs w:val="24"/>
          </w:rPr>
          <w:t xml:space="preserve">3 Findings</w:t>
        </w:r>
        <w:r>
          <w:rPr>
            <w:rFonts w:ascii="Times New Roman" w:cs="Times New Roman" w:eastAsia="Times New Roman" w:hAnsi="Times New Roman"/>
            <w:color w:val="000000"/>
            <w:sz w:val="24"/>
            <w:szCs w:val="24"/>
          </w:rPr>
          <w:tab/>
        </w:r>
        <w:r>
          <w:rPr>
            <w:rFonts w:ascii="Times New Roman" w:cs="Times New Roman" w:eastAsia="Times New Roman" w:hAnsi="Times New Roman"/>
            <w:b w:val="false"/>
            <w:bCs w:val="false"/>
            <w:i w:val="false"/>
            <w:iCs w:val="false"/>
            <w:color w:val="000000"/>
            <w:sz w:val="24"/>
            <w:szCs w:val="24"/>
          </w:rPr>
          <w:t xml:space="preserve">7</w:t>
        </w:r>
      </w:hyperlink>
    </w:p>
    <w:p>
      <w:pPr>
        <w:tabs>
          <w:tab w:val="right" w:pos="9746" w:leader="dot"/>
        </w:tabs>
        <w:spacing w:after="60" w:line="260" w:lineRule="auto"/>
        <w:ind w:left="280" w:right="0" w:firstLine="0"/>
        <w:jc w:val="left"/>
      </w:pPr>
      <w:hyperlink w:history="1" w:anchor="h_15">
        <w:r>
          <w:rPr>
            <w:rFonts w:ascii="Times New Roman" w:cs="Times New Roman" w:eastAsia="Times New Roman" w:hAnsi="Times New Roman"/>
            <w:b w:val="false"/>
            <w:bCs w:val="false"/>
            <w:i w:val="false"/>
            <w:iCs w:val="false"/>
            <w:color w:val="000000"/>
            <w:sz w:val="24"/>
            <w:szCs w:val="24"/>
          </w:rPr>
          <w:t xml:space="preserve">3.1 High findings</w:t>
        </w:r>
        <w:r>
          <w:rPr>
            <w:rFonts w:ascii="Times New Roman" w:cs="Times New Roman" w:eastAsia="Times New Roman" w:hAnsi="Times New Roman"/>
            <w:color w:val="000000"/>
            <w:sz w:val="24"/>
            <w:szCs w:val="24"/>
          </w:rPr>
          <w:tab/>
        </w:r>
        <w:r>
          <w:rPr>
            <w:rFonts w:ascii="Times New Roman" w:cs="Times New Roman" w:eastAsia="Times New Roman" w:hAnsi="Times New Roman"/>
            <w:b w:val="false"/>
            <w:bCs w:val="false"/>
            <w:i w:val="false"/>
            <w:iCs w:val="false"/>
            <w:color w:val="000000"/>
            <w:sz w:val="24"/>
            <w:szCs w:val="24"/>
          </w:rPr>
          <w:t xml:space="preserve">7</w:t>
        </w:r>
      </w:hyperlink>
    </w:p>
    <w:p>
      <w:pPr>
        <w:tabs>
          <w:tab w:val="right" w:pos="9746" w:leader="dot"/>
        </w:tabs>
        <w:spacing w:after="60" w:line="260" w:lineRule="auto"/>
        <w:ind w:left="280" w:right="0" w:firstLine="0"/>
        <w:jc w:val="left"/>
      </w:pPr>
      <w:hyperlink w:history="1" w:anchor="h_16">
        <w:r>
          <w:rPr>
            <w:rFonts w:ascii="Times New Roman" w:cs="Times New Roman" w:eastAsia="Times New Roman" w:hAnsi="Times New Roman"/>
            <w:b w:val="false"/>
            <w:bCs w:val="false"/>
            <w:i w:val="false"/>
            <w:iCs w:val="false"/>
            <w:color w:val="000000"/>
            <w:sz w:val="24"/>
            <w:szCs w:val="24"/>
          </w:rPr>
          <w:t xml:space="preserve">3.2 Medium findings</w:t>
        </w:r>
        <w:r>
          <w:rPr>
            <w:rFonts w:ascii="Times New Roman" w:cs="Times New Roman" w:eastAsia="Times New Roman" w:hAnsi="Times New Roman"/>
            <w:color w:val="000000"/>
            <w:sz w:val="24"/>
            <w:szCs w:val="24"/>
          </w:rPr>
          <w:tab/>
        </w:r>
        <w:r>
          <w:rPr>
            <w:rFonts w:ascii="Times New Roman" w:cs="Times New Roman" w:eastAsia="Times New Roman" w:hAnsi="Times New Roman"/>
            <w:b w:val="false"/>
            <w:bCs w:val="false"/>
            <w:i w:val="false"/>
            <w:iCs w:val="false"/>
            <w:color w:val="000000"/>
            <w:sz w:val="24"/>
            <w:szCs w:val="24"/>
          </w:rPr>
          <w:t xml:space="preserve">8</w:t>
        </w:r>
      </w:hyperlink>
    </w:p>
    <w:p>
      <w:pPr>
        <w:tabs>
          <w:tab w:val="right" w:pos="9746" w:leader="dot"/>
        </w:tabs>
        <w:spacing w:after="60" w:line="260" w:lineRule="auto"/>
        <w:ind w:left="280" w:right="0" w:firstLine="0"/>
        <w:jc w:val="left"/>
      </w:pPr>
      <w:hyperlink w:history="1" w:anchor="h_17">
        <w:r>
          <w:rPr>
            <w:rFonts w:ascii="Times New Roman" w:cs="Times New Roman" w:eastAsia="Times New Roman" w:hAnsi="Times New Roman"/>
            <w:b w:val="false"/>
            <w:bCs w:val="false"/>
            <w:i w:val="false"/>
            <w:iCs w:val="false"/>
            <w:color w:val="000000"/>
            <w:sz w:val="24"/>
            <w:szCs w:val="24"/>
          </w:rPr>
          <w:t xml:space="preserve">3.3 Low findings and observations</w:t>
        </w:r>
        <w:r>
          <w:rPr>
            <w:rFonts w:ascii="Times New Roman" w:cs="Times New Roman" w:eastAsia="Times New Roman" w:hAnsi="Times New Roman"/>
            <w:color w:val="000000"/>
            <w:sz w:val="24"/>
            <w:szCs w:val="24"/>
          </w:rPr>
          <w:tab/>
        </w:r>
        <w:r>
          <w:rPr>
            <w:rFonts w:ascii="Times New Roman" w:cs="Times New Roman" w:eastAsia="Times New Roman" w:hAnsi="Times New Roman"/>
            <w:b w:val="false"/>
            <w:bCs w:val="false"/>
            <w:i w:val="false"/>
            <w:iCs w:val="false"/>
            <w:color w:val="000000"/>
            <w:sz w:val="24"/>
            <w:szCs w:val="24"/>
          </w:rPr>
          <w:t xml:space="preserve">8</w:t>
        </w:r>
      </w:hyperlink>
    </w:p>
    <w:p>
      <w:pPr>
        <w:tabs>
          <w:tab w:val="right" w:pos="9746" w:leader="dot"/>
        </w:tabs>
        <w:spacing w:after="60" w:line="260" w:lineRule="auto"/>
        <w:ind w:left="280" w:right="0" w:firstLine="0"/>
        <w:jc w:val="left"/>
      </w:pPr>
      <w:hyperlink w:history="1" w:anchor="h_18">
        <w:r>
          <w:rPr>
            <w:rFonts w:ascii="Times New Roman" w:cs="Times New Roman" w:eastAsia="Times New Roman" w:hAnsi="Times New Roman"/>
            <w:b w:val="false"/>
            <w:bCs w:val="false"/>
            <w:i w:val="false"/>
            <w:iCs w:val="false"/>
            <w:color w:val="000000"/>
            <w:sz w:val="24"/>
            <w:szCs w:val="24"/>
          </w:rPr>
          <w:t xml:space="preserve">3.4 Controls found to be effective</w:t>
        </w:r>
        <w:r>
          <w:rPr>
            <w:rFonts w:ascii="Times New Roman" w:cs="Times New Roman" w:eastAsia="Times New Roman" w:hAnsi="Times New Roman"/>
            <w:color w:val="000000"/>
            <w:sz w:val="24"/>
            <w:szCs w:val="24"/>
          </w:rPr>
          <w:tab/>
        </w:r>
        <w:r>
          <w:rPr>
            <w:rFonts w:ascii="Times New Roman" w:cs="Times New Roman" w:eastAsia="Times New Roman" w:hAnsi="Times New Roman"/>
            <w:b w:val="false"/>
            <w:bCs w:val="false"/>
            <w:i w:val="false"/>
            <w:iCs w:val="false"/>
            <w:color w:val="000000"/>
            <w:sz w:val="24"/>
            <w:szCs w:val="24"/>
          </w:rPr>
          <w:t xml:space="preserve">9</w:t>
        </w:r>
      </w:hyperlink>
    </w:p>
    <w:p>
      <w:pPr>
        <w:tabs>
          <w:tab w:val="right" w:pos="9746" w:leader="dot"/>
        </w:tabs>
        <w:spacing w:after="60" w:line="260" w:lineRule="auto"/>
        <w:ind w:left="0" w:right="0" w:firstLine="0"/>
        <w:jc w:val="left"/>
      </w:pPr>
      <w:hyperlink w:history="1" w:anchor="h_19">
        <w:r>
          <w:rPr>
            <w:rFonts w:ascii="Times New Roman" w:cs="Times New Roman" w:eastAsia="Times New Roman" w:hAnsi="Times New Roman"/>
            <w:b w:val="false"/>
            <w:bCs w:val="false"/>
            <w:i w:val="false"/>
            <w:iCs w:val="false"/>
            <w:color w:val="000000"/>
            <w:sz w:val="24"/>
            <w:szCs w:val="24"/>
          </w:rPr>
          <w:t xml:space="preserve">4 Data protection</w:t>
        </w:r>
        <w:r>
          <w:rPr>
            <w:rFonts w:ascii="Times New Roman" w:cs="Times New Roman" w:eastAsia="Times New Roman" w:hAnsi="Times New Roman"/>
            <w:color w:val="000000"/>
            <w:sz w:val="24"/>
            <w:szCs w:val="24"/>
          </w:rPr>
          <w:tab/>
        </w:r>
        <w:r>
          <w:rPr>
            <w:rFonts w:ascii="Times New Roman" w:cs="Times New Roman" w:eastAsia="Times New Roman" w:hAnsi="Times New Roman"/>
            <w:b w:val="false"/>
            <w:bCs w:val="false"/>
            <w:i w:val="false"/>
            <w:iCs w:val="false"/>
            <w:color w:val="000000"/>
            <w:sz w:val="24"/>
            <w:szCs w:val="24"/>
          </w:rPr>
          <w:t xml:space="preserve">10</w:t>
        </w:r>
      </w:hyperlink>
    </w:p>
    <w:p>
      <w:pPr>
        <w:tabs>
          <w:tab w:val="right" w:pos="9746" w:leader="dot"/>
        </w:tabs>
        <w:spacing w:after="60" w:line="260" w:lineRule="auto"/>
        <w:ind w:left="280" w:right="0" w:firstLine="0"/>
        <w:jc w:val="left"/>
      </w:pPr>
      <w:hyperlink w:history="1" w:anchor="h_20">
        <w:r>
          <w:rPr>
            <w:rFonts w:ascii="Times New Roman" w:cs="Times New Roman" w:eastAsia="Times New Roman" w:hAnsi="Times New Roman"/>
            <w:b w:val="false"/>
            <w:bCs w:val="false"/>
            <w:i w:val="false"/>
            <w:iCs w:val="false"/>
            <w:color w:val="000000"/>
            <w:sz w:val="24"/>
            <w:szCs w:val="24"/>
          </w:rPr>
          <w:t xml:space="preserve">4.1 Obligations</w:t>
        </w:r>
        <w:r>
          <w:rPr>
            <w:rFonts w:ascii="Times New Roman" w:cs="Times New Roman" w:eastAsia="Times New Roman" w:hAnsi="Times New Roman"/>
            <w:color w:val="000000"/>
            <w:sz w:val="24"/>
            <w:szCs w:val="24"/>
          </w:rPr>
          <w:tab/>
        </w:r>
        <w:r>
          <w:rPr>
            <w:rFonts w:ascii="Times New Roman" w:cs="Times New Roman" w:eastAsia="Times New Roman" w:hAnsi="Times New Roman"/>
            <w:b w:val="false"/>
            <w:bCs w:val="false"/>
            <w:i w:val="false"/>
            <w:iCs w:val="false"/>
            <w:color w:val="000000"/>
            <w:sz w:val="24"/>
            <w:szCs w:val="24"/>
          </w:rPr>
          <w:t xml:space="preserve">10</w:t>
        </w:r>
      </w:hyperlink>
    </w:p>
    <w:p>
      <w:pPr>
        <w:tabs>
          <w:tab w:val="right" w:pos="9746" w:leader="dot"/>
        </w:tabs>
        <w:spacing w:after="60" w:line="260" w:lineRule="auto"/>
        <w:ind w:left="280" w:right="0" w:firstLine="0"/>
        <w:jc w:val="left"/>
      </w:pPr>
      <w:hyperlink w:history="1" w:anchor="h_21">
        <w:r>
          <w:rPr>
            <w:rFonts w:ascii="Times New Roman" w:cs="Times New Roman" w:eastAsia="Times New Roman" w:hAnsi="Times New Roman"/>
            <w:b w:val="false"/>
            <w:bCs w:val="false"/>
            <w:i w:val="false"/>
            <w:iCs w:val="false"/>
            <w:color w:val="000000"/>
            <w:sz w:val="24"/>
            <w:szCs w:val="24"/>
          </w:rPr>
          <w:t xml:space="preserve">4.2 Synthetic data in non-production</w:t>
        </w:r>
        <w:r>
          <w:rPr>
            <w:rFonts w:ascii="Times New Roman" w:cs="Times New Roman" w:eastAsia="Times New Roman" w:hAnsi="Times New Roman"/>
            <w:color w:val="000000"/>
            <w:sz w:val="24"/>
            <w:szCs w:val="24"/>
          </w:rPr>
          <w:tab/>
        </w:r>
        <w:r>
          <w:rPr>
            <w:rFonts w:ascii="Times New Roman" w:cs="Times New Roman" w:eastAsia="Times New Roman" w:hAnsi="Times New Roman"/>
            <w:b w:val="false"/>
            <w:bCs w:val="false"/>
            <w:i w:val="false"/>
            <w:iCs w:val="false"/>
            <w:color w:val="000000"/>
            <w:sz w:val="24"/>
            <w:szCs w:val="24"/>
          </w:rPr>
          <w:t xml:space="preserve">10</w:t>
        </w:r>
      </w:hyperlink>
    </w:p>
    <w:p>
      <w:pPr>
        <w:tabs>
          <w:tab w:val="right" w:pos="9746" w:leader="dot"/>
        </w:tabs>
        <w:spacing w:after="60" w:line="260" w:lineRule="auto"/>
        <w:ind w:left="280" w:right="0" w:firstLine="0"/>
        <w:jc w:val="left"/>
      </w:pPr>
      <w:hyperlink w:history="1" w:anchor="h_22">
        <w:r>
          <w:rPr>
            <w:rFonts w:ascii="Times New Roman" w:cs="Times New Roman" w:eastAsia="Times New Roman" w:hAnsi="Times New Roman"/>
            <w:b w:val="false"/>
            <w:bCs w:val="false"/>
            <w:i w:val="false"/>
            <w:iCs w:val="false"/>
            <w:color w:val="000000"/>
            <w:sz w:val="24"/>
            <w:szCs w:val="24"/>
          </w:rPr>
          <w:t xml:space="preserve">4.3 Patient history export and data minimisation</w:t>
        </w:r>
        <w:r>
          <w:rPr>
            <w:rFonts w:ascii="Times New Roman" w:cs="Times New Roman" w:eastAsia="Times New Roman" w:hAnsi="Times New Roman"/>
            <w:color w:val="000000"/>
            <w:sz w:val="24"/>
            <w:szCs w:val="24"/>
          </w:rPr>
          <w:tab/>
        </w:r>
        <w:r>
          <w:rPr>
            <w:rFonts w:ascii="Times New Roman" w:cs="Times New Roman" w:eastAsia="Times New Roman" w:hAnsi="Times New Roman"/>
            <w:b w:val="false"/>
            <w:bCs w:val="false"/>
            <w:i w:val="false"/>
            <w:iCs w:val="false"/>
            <w:color w:val="000000"/>
            <w:sz w:val="24"/>
            <w:szCs w:val="24"/>
          </w:rPr>
          <w:t xml:space="preserve">10</w:t>
        </w:r>
      </w:hyperlink>
    </w:p>
    <w:p>
      <w:pPr>
        <w:tabs>
          <w:tab w:val="right" w:pos="9746" w:leader="dot"/>
        </w:tabs>
        <w:spacing w:after="60" w:line="260" w:lineRule="auto"/>
        <w:ind w:left="280" w:right="0" w:firstLine="0"/>
        <w:jc w:val="left"/>
      </w:pPr>
      <w:hyperlink w:history="1" w:anchor="h_23">
        <w:r>
          <w:rPr>
            <w:rFonts w:ascii="Times New Roman" w:cs="Times New Roman" w:eastAsia="Times New Roman" w:hAnsi="Times New Roman"/>
            <w:b w:val="false"/>
            <w:bCs w:val="false"/>
            <w:i w:val="false"/>
            <w:iCs w:val="false"/>
            <w:color w:val="000000"/>
            <w:sz w:val="24"/>
            <w:szCs w:val="24"/>
          </w:rPr>
          <w:t xml:space="preserve">4.4 A conflict requiring a decision</w:t>
        </w:r>
        <w:r>
          <w:rPr>
            <w:rFonts w:ascii="Times New Roman" w:cs="Times New Roman" w:eastAsia="Times New Roman" w:hAnsi="Times New Roman"/>
            <w:color w:val="000000"/>
            <w:sz w:val="24"/>
            <w:szCs w:val="24"/>
          </w:rPr>
          <w:tab/>
        </w:r>
        <w:r>
          <w:rPr>
            <w:rFonts w:ascii="Times New Roman" w:cs="Times New Roman" w:eastAsia="Times New Roman" w:hAnsi="Times New Roman"/>
            <w:b w:val="false"/>
            <w:bCs w:val="false"/>
            <w:i w:val="false"/>
            <w:iCs w:val="false"/>
            <w:color w:val="000000"/>
            <w:sz w:val="24"/>
            <w:szCs w:val="24"/>
          </w:rPr>
          <w:t xml:space="preserve">10</w:t>
        </w:r>
      </w:hyperlink>
    </w:p>
    <w:p>
      <w:pPr>
        <w:tabs>
          <w:tab w:val="right" w:pos="9746" w:leader="dot"/>
        </w:tabs>
        <w:spacing w:after="60" w:line="260" w:lineRule="auto"/>
        <w:ind w:left="0" w:right="0" w:firstLine="0"/>
        <w:jc w:val="left"/>
      </w:pPr>
      <w:hyperlink w:history="1" w:anchor="h_24">
        <w:r>
          <w:rPr>
            <w:rFonts w:ascii="Times New Roman" w:cs="Times New Roman" w:eastAsia="Times New Roman" w:hAnsi="Times New Roman"/>
            <w:b w:val="false"/>
            <w:bCs w:val="false"/>
            <w:i w:val="false"/>
            <w:iCs w:val="false"/>
            <w:color w:val="000000"/>
            <w:sz w:val="24"/>
            <w:szCs w:val="24"/>
          </w:rPr>
          <w:t xml:space="preserve">5 Remediation</w:t>
        </w:r>
        <w:r>
          <w:rPr>
            <w:rFonts w:ascii="Times New Roman" w:cs="Times New Roman" w:eastAsia="Times New Roman" w:hAnsi="Times New Roman"/>
            <w:color w:val="000000"/>
            <w:sz w:val="24"/>
            <w:szCs w:val="24"/>
          </w:rPr>
          <w:tab/>
        </w:r>
        <w:r>
          <w:rPr>
            <w:rFonts w:ascii="Times New Roman" w:cs="Times New Roman" w:eastAsia="Times New Roman" w:hAnsi="Times New Roman"/>
            <w:b w:val="false"/>
            <w:bCs w:val="false"/>
            <w:i w:val="false"/>
            <w:iCs w:val="false"/>
            <w:color w:val="000000"/>
            <w:sz w:val="24"/>
            <w:szCs w:val="24"/>
          </w:rPr>
          <w:t xml:space="preserve">11</w:t>
        </w:r>
      </w:hyperlink>
    </w:p>
    <w:p>
      <w:pPr>
        <w:tabs>
          <w:tab w:val="right" w:pos="9746" w:leader="dot"/>
        </w:tabs>
        <w:spacing w:after="60" w:line="260" w:lineRule="auto"/>
        <w:ind w:left="280" w:right="0" w:firstLine="0"/>
        <w:jc w:val="left"/>
      </w:pPr>
      <w:hyperlink w:history="1" w:anchor="h_25">
        <w:r>
          <w:rPr>
            <w:rFonts w:ascii="Times New Roman" w:cs="Times New Roman" w:eastAsia="Times New Roman" w:hAnsi="Times New Roman"/>
            <w:b w:val="false"/>
            <w:bCs w:val="false"/>
            <w:i w:val="false"/>
            <w:iCs w:val="false"/>
            <w:color w:val="000000"/>
            <w:sz w:val="24"/>
            <w:szCs w:val="24"/>
          </w:rPr>
          <w:t xml:space="preserve">5.1 Before user testing</w:t>
        </w:r>
        <w:r>
          <w:rPr>
            <w:rFonts w:ascii="Times New Roman" w:cs="Times New Roman" w:eastAsia="Times New Roman" w:hAnsi="Times New Roman"/>
            <w:color w:val="000000"/>
            <w:sz w:val="24"/>
            <w:szCs w:val="24"/>
          </w:rPr>
          <w:tab/>
        </w:r>
        <w:r>
          <w:rPr>
            <w:rFonts w:ascii="Times New Roman" w:cs="Times New Roman" w:eastAsia="Times New Roman" w:hAnsi="Times New Roman"/>
            <w:b w:val="false"/>
            <w:bCs w:val="false"/>
            <w:i w:val="false"/>
            <w:iCs w:val="false"/>
            <w:color w:val="000000"/>
            <w:sz w:val="24"/>
            <w:szCs w:val="24"/>
          </w:rPr>
          <w:t xml:space="preserve">11</w:t>
        </w:r>
      </w:hyperlink>
    </w:p>
    <w:p>
      <w:pPr>
        <w:tabs>
          <w:tab w:val="right" w:pos="9746" w:leader="dot"/>
        </w:tabs>
        <w:spacing w:after="60" w:line="260" w:lineRule="auto"/>
        <w:ind w:left="280" w:right="0" w:firstLine="0"/>
        <w:jc w:val="left"/>
      </w:pPr>
      <w:hyperlink w:history="1" w:anchor="h_26">
        <w:r>
          <w:rPr>
            <w:rFonts w:ascii="Times New Roman" w:cs="Times New Roman" w:eastAsia="Times New Roman" w:hAnsi="Times New Roman"/>
            <w:b w:val="false"/>
            <w:bCs w:val="false"/>
            <w:i w:val="false"/>
            <w:iCs w:val="false"/>
            <w:color w:val="000000"/>
            <w:sz w:val="24"/>
            <w:szCs w:val="24"/>
          </w:rPr>
          <w:t xml:space="preserve">5.2 Before real clinical records</w:t>
        </w:r>
        <w:r>
          <w:rPr>
            <w:rFonts w:ascii="Times New Roman" w:cs="Times New Roman" w:eastAsia="Times New Roman" w:hAnsi="Times New Roman"/>
            <w:color w:val="000000"/>
            <w:sz w:val="24"/>
            <w:szCs w:val="24"/>
          </w:rPr>
          <w:tab/>
        </w:r>
        <w:r>
          <w:rPr>
            <w:rFonts w:ascii="Times New Roman" w:cs="Times New Roman" w:eastAsia="Times New Roman" w:hAnsi="Times New Roman"/>
            <w:b w:val="false"/>
            <w:bCs w:val="false"/>
            <w:i w:val="false"/>
            <w:iCs w:val="false"/>
            <w:color w:val="000000"/>
            <w:sz w:val="24"/>
            <w:szCs w:val="24"/>
          </w:rPr>
          <w:t xml:space="preserve">11</w:t>
        </w:r>
      </w:hyperlink>
    </w:p>
    <w:p>
      <w:pPr>
        <w:tabs>
          <w:tab w:val="right" w:pos="9746" w:leader="dot"/>
        </w:tabs>
        <w:spacing w:after="60" w:line="260" w:lineRule="auto"/>
        <w:ind w:left="280" w:right="0" w:firstLine="0"/>
        <w:jc w:val="left"/>
      </w:pPr>
      <w:hyperlink w:history="1" w:anchor="h_27">
        <w:r>
          <w:rPr>
            <w:rFonts w:ascii="Times New Roman" w:cs="Times New Roman" w:eastAsia="Times New Roman" w:hAnsi="Times New Roman"/>
            <w:b w:val="false"/>
            <w:bCs w:val="false"/>
            <w:i w:val="false"/>
            <w:iCs w:val="false"/>
            <w:color w:val="000000"/>
            <w:sz w:val="24"/>
            <w:szCs w:val="24"/>
          </w:rPr>
          <w:t xml:space="preserve">5.3 Compensating controls during testing</w:t>
        </w:r>
        <w:r>
          <w:rPr>
            <w:rFonts w:ascii="Times New Roman" w:cs="Times New Roman" w:eastAsia="Times New Roman" w:hAnsi="Times New Roman"/>
            <w:color w:val="000000"/>
            <w:sz w:val="24"/>
            <w:szCs w:val="24"/>
          </w:rPr>
          <w:tab/>
        </w:r>
        <w:r>
          <w:rPr>
            <w:rFonts w:ascii="Times New Roman" w:cs="Times New Roman" w:eastAsia="Times New Roman" w:hAnsi="Times New Roman"/>
            <w:b w:val="false"/>
            <w:bCs w:val="false"/>
            <w:i w:val="false"/>
            <w:iCs w:val="false"/>
            <w:color w:val="000000"/>
            <w:sz w:val="24"/>
            <w:szCs w:val="24"/>
          </w:rPr>
          <w:t xml:space="preserve">12</w:t>
        </w:r>
      </w:hyperlink>
    </w:p>
    <w:p>
      <w:pPr>
        <w:tabs>
          <w:tab w:val="right" w:pos="9746" w:leader="dot"/>
        </w:tabs>
        <w:spacing w:after="60" w:line="260" w:lineRule="auto"/>
        <w:ind w:left="0" w:right="0" w:firstLine="0"/>
        <w:jc w:val="left"/>
      </w:pPr>
      <w:hyperlink w:history="1" w:anchor="h_28">
        <w:r>
          <w:rPr>
            <w:rFonts w:ascii="Times New Roman" w:cs="Times New Roman" w:eastAsia="Times New Roman" w:hAnsi="Times New Roman"/>
            <w:b w:val="false"/>
            <w:bCs w:val="false"/>
            <w:i w:val="false"/>
            <w:iCs w:val="false"/>
            <w:color w:val="000000"/>
            <w:sz w:val="24"/>
            <w:szCs w:val="24"/>
          </w:rPr>
          <w:t xml:space="preserve">6 Conclusion</w:t>
        </w:r>
        <w:r>
          <w:rPr>
            <w:rFonts w:ascii="Times New Roman" w:cs="Times New Roman" w:eastAsia="Times New Roman" w:hAnsi="Times New Roman"/>
            <w:color w:val="000000"/>
            <w:sz w:val="24"/>
            <w:szCs w:val="24"/>
          </w:rPr>
          <w:tab/>
        </w:r>
        <w:r>
          <w:rPr>
            <w:rFonts w:ascii="Times New Roman" w:cs="Times New Roman" w:eastAsia="Times New Roman" w:hAnsi="Times New Roman"/>
            <w:b w:val="false"/>
            <w:bCs w:val="false"/>
            <w:i w:val="false"/>
            <w:iCs w:val="false"/>
            <w:color w:val="000000"/>
            <w:sz w:val="24"/>
            <w:szCs w:val="24"/>
          </w:rPr>
          <w:t xml:space="preserve">12</w:t>
        </w:r>
      </w:hyperlink>
    </w:p>
    <w:p>
      <w:r>
        <w:br w:type="page"/>
      </w:r>
    </w:p>
    <w:p>
      <w:pPr>
        <w:spacing w:after="200" w:before="240"/>
        <w:jc w:val="left"/>
      </w:pPr>
      <w:r>
        <w:rPr>
          <w:rFonts w:ascii="Times New Roman" w:cs="Times New Roman" w:eastAsia="Times New Roman" w:hAnsi="Times New Roman"/>
          <w:b/>
          <w:bCs/>
          <w:i w:val="false"/>
          <w:iCs w:val="false"/>
          <w:color w:val="000000"/>
          <w:sz w:val="24"/>
          <w:szCs w:val="24"/>
        </w:rPr>
        <w:t xml:space="preserve">List of Figures</w:t>
      </w:r>
    </w:p>
    <w:p>
      <w:pPr>
        <w:tabs>
          <w:tab w:val="right" w:pos="9746" w:leader="dot"/>
        </w:tabs>
        <w:spacing w:after="60" w:line="260" w:lineRule="auto"/>
        <w:ind w:left="0" w:right="0" w:firstLine="0"/>
        <w:jc w:val="left"/>
      </w:pPr>
      <w:hyperlink w:history="1" w:anchor="fig_2_1">
        <w:r>
          <w:rPr>
            <w:rFonts w:ascii="Times New Roman" w:cs="Times New Roman" w:eastAsia="Times New Roman" w:hAnsi="Times New Roman"/>
            <w:b w:val="false"/>
            <w:bCs w:val="false"/>
            <w:i w:val="false"/>
            <w:iCs w:val="false"/>
            <w:color w:val="000000"/>
            <w:sz w:val="24"/>
            <w:szCs w:val="24"/>
          </w:rPr>
          <w:t xml:space="preserve">Figure 2.1: The four layers enforcing clinical access</w:t>
        </w:r>
        <w:r>
          <w:rPr>
            <w:rFonts w:ascii="Times New Roman" w:cs="Times New Roman" w:eastAsia="Times New Roman" w:hAnsi="Times New Roman"/>
            <w:color w:val="000000"/>
            <w:sz w:val="24"/>
            <w:szCs w:val="24"/>
          </w:rPr>
          <w:tab/>
        </w:r>
        <w:r>
          <w:rPr>
            <w:rFonts w:ascii="Times New Roman" w:cs="Times New Roman" w:eastAsia="Times New Roman" w:hAnsi="Times New Roman"/>
            <w:b w:val="false"/>
            <w:bCs w:val="false"/>
            <w:i w:val="false"/>
            <w:iCs w:val="false"/>
            <w:color w:val="000000"/>
            <w:sz w:val="24"/>
            <w:szCs w:val="24"/>
          </w:rPr>
          <w:t xml:space="preserve">5</w:t>
        </w:r>
      </w:hyperlink>
    </w:p>
    <w:p>
      <w:r>
        <w:rPr>
          <w:rFonts w:ascii="Times New Roman" w:cs="Times New Roman" w:eastAsia="Times New Roman" w:hAnsi="Times New Roman"/>
          <w:b w:val="false"/>
          <w:bCs w:val="false"/>
          <w:i w:val="false"/>
          <w:iCs w:val="false"/>
          <w:color w:val="000000"/>
          <w:sz w:val="24"/>
          <w:szCs w:val="24"/>
        </w:rPr>
        <w:t xml:space="preserve"/>
      </w:r>
    </w:p>
    <w:p>
      <w:pPr>
        <w:spacing w:after="200" w:before="240"/>
        <w:jc w:val="left"/>
      </w:pPr>
      <w:r>
        <w:rPr>
          <w:rFonts w:ascii="Times New Roman" w:cs="Times New Roman" w:eastAsia="Times New Roman" w:hAnsi="Times New Roman"/>
          <w:b/>
          <w:bCs/>
          <w:i w:val="false"/>
          <w:iCs w:val="false"/>
          <w:color w:val="000000"/>
          <w:sz w:val="24"/>
          <w:szCs w:val="24"/>
        </w:rPr>
        <w:t xml:space="preserve">List of Tables</w:t>
      </w:r>
    </w:p>
    <w:p>
      <w:pPr>
        <w:tabs>
          <w:tab w:val="right" w:pos="9746" w:leader="dot"/>
        </w:tabs>
        <w:spacing w:after="60" w:line="260" w:lineRule="auto"/>
        <w:ind w:left="0" w:right="0" w:firstLine="0"/>
        <w:jc w:val="left"/>
      </w:pPr>
      <w:hyperlink w:history="1" w:anchor="tbl_1_1">
        <w:r>
          <w:rPr>
            <w:rFonts w:ascii="Times New Roman" w:cs="Times New Roman" w:eastAsia="Times New Roman" w:hAnsi="Times New Roman"/>
            <w:b w:val="false"/>
            <w:bCs w:val="false"/>
            <w:i w:val="false"/>
            <w:iCs w:val="false"/>
            <w:color w:val="000000"/>
            <w:sz w:val="24"/>
            <w:szCs w:val="24"/>
          </w:rPr>
          <w:t xml:space="preserve">Table 1.1: Finding severity definitions</w:t>
        </w:r>
        <w:r>
          <w:rPr>
            <w:rFonts w:ascii="Times New Roman" w:cs="Times New Roman" w:eastAsia="Times New Roman" w:hAnsi="Times New Roman"/>
            <w:color w:val="000000"/>
            <w:sz w:val="24"/>
            <w:szCs w:val="24"/>
          </w:rPr>
          <w:tab/>
        </w:r>
        <w:r>
          <w:rPr>
            <w:rFonts w:ascii="Times New Roman" w:cs="Times New Roman" w:eastAsia="Times New Roman" w:hAnsi="Times New Roman"/>
            <w:b w:val="false"/>
            <w:bCs w:val="false"/>
            <w:i w:val="false"/>
            <w:iCs w:val="false"/>
            <w:color w:val="000000"/>
            <w:sz w:val="24"/>
            <w:szCs w:val="24"/>
          </w:rPr>
          <w:t xml:space="preserve">4</w:t>
        </w:r>
      </w:hyperlink>
    </w:p>
    <w:p>
      <w:pPr>
        <w:tabs>
          <w:tab w:val="right" w:pos="9746" w:leader="dot"/>
        </w:tabs>
        <w:spacing w:after="60" w:line="260" w:lineRule="auto"/>
        <w:ind w:left="0" w:right="0" w:firstLine="0"/>
        <w:jc w:val="left"/>
      </w:pPr>
      <w:hyperlink w:history="1" w:anchor="tbl_2_1">
        <w:r>
          <w:rPr>
            <w:rFonts w:ascii="Times New Roman" w:cs="Times New Roman" w:eastAsia="Times New Roman" w:hAnsi="Times New Roman"/>
            <w:b w:val="false"/>
            <w:bCs w:val="false"/>
            <w:i w:val="false"/>
            <w:iCs w:val="false"/>
            <w:color w:val="000000"/>
            <w:sz w:val="24"/>
            <w:szCs w:val="24"/>
          </w:rPr>
          <w:t xml:space="preserve">Table 2.1: Clinical access controls and their assessment</w:t>
        </w:r>
        <w:r>
          <w:rPr>
            <w:rFonts w:ascii="Times New Roman" w:cs="Times New Roman" w:eastAsia="Times New Roman" w:hAnsi="Times New Roman"/>
            <w:color w:val="000000"/>
            <w:sz w:val="24"/>
            <w:szCs w:val="24"/>
          </w:rPr>
          <w:tab/>
        </w:r>
        <w:r>
          <w:rPr>
            <w:rFonts w:ascii="Times New Roman" w:cs="Times New Roman" w:eastAsia="Times New Roman" w:hAnsi="Times New Roman"/>
            <w:b w:val="false"/>
            <w:bCs w:val="false"/>
            <w:i w:val="false"/>
            <w:iCs w:val="false"/>
            <w:color w:val="000000"/>
            <w:sz w:val="24"/>
            <w:szCs w:val="24"/>
          </w:rPr>
          <w:t xml:space="preserve">5</w:t>
        </w:r>
      </w:hyperlink>
    </w:p>
    <w:p>
      <w:pPr>
        <w:tabs>
          <w:tab w:val="right" w:pos="9746" w:leader="dot"/>
        </w:tabs>
        <w:spacing w:after="60" w:line="260" w:lineRule="auto"/>
        <w:ind w:left="0" w:right="0" w:firstLine="0"/>
        <w:jc w:val="left"/>
      </w:pPr>
      <w:hyperlink w:history="1" w:anchor="tbl_3_1">
        <w:r>
          <w:rPr>
            <w:rFonts w:ascii="Times New Roman" w:cs="Times New Roman" w:eastAsia="Times New Roman" w:hAnsi="Times New Roman"/>
            <w:b w:val="false"/>
            <w:bCs w:val="false"/>
            <w:i w:val="false"/>
            <w:iCs w:val="false"/>
            <w:color w:val="000000"/>
            <w:sz w:val="24"/>
            <w:szCs w:val="24"/>
          </w:rPr>
          <w:t xml:space="preserve">Table 3.1: High severity findings</w:t>
        </w:r>
        <w:r>
          <w:rPr>
            <w:rFonts w:ascii="Times New Roman" w:cs="Times New Roman" w:eastAsia="Times New Roman" w:hAnsi="Times New Roman"/>
            <w:color w:val="000000"/>
            <w:sz w:val="24"/>
            <w:szCs w:val="24"/>
          </w:rPr>
          <w:tab/>
        </w:r>
        <w:r>
          <w:rPr>
            <w:rFonts w:ascii="Times New Roman" w:cs="Times New Roman" w:eastAsia="Times New Roman" w:hAnsi="Times New Roman"/>
            <w:b w:val="false"/>
            <w:bCs w:val="false"/>
            <w:i w:val="false"/>
            <w:iCs w:val="false"/>
            <w:color w:val="000000"/>
            <w:sz w:val="24"/>
            <w:szCs w:val="24"/>
          </w:rPr>
          <w:t xml:space="preserve">7</w:t>
        </w:r>
      </w:hyperlink>
    </w:p>
    <w:p>
      <w:pPr>
        <w:tabs>
          <w:tab w:val="right" w:pos="9746" w:leader="dot"/>
        </w:tabs>
        <w:spacing w:after="60" w:line="260" w:lineRule="auto"/>
        <w:ind w:left="0" w:right="0" w:firstLine="0"/>
        <w:jc w:val="left"/>
      </w:pPr>
      <w:hyperlink w:history="1" w:anchor="tbl_3_2">
        <w:r>
          <w:rPr>
            <w:rFonts w:ascii="Times New Roman" w:cs="Times New Roman" w:eastAsia="Times New Roman" w:hAnsi="Times New Roman"/>
            <w:b w:val="false"/>
            <w:bCs w:val="false"/>
            <w:i w:val="false"/>
            <w:iCs w:val="false"/>
            <w:color w:val="000000"/>
            <w:sz w:val="24"/>
            <w:szCs w:val="24"/>
          </w:rPr>
          <w:t xml:space="preserve">Table 3.2: Medium severity findings</w:t>
        </w:r>
        <w:r>
          <w:rPr>
            <w:rFonts w:ascii="Times New Roman" w:cs="Times New Roman" w:eastAsia="Times New Roman" w:hAnsi="Times New Roman"/>
            <w:color w:val="000000"/>
            <w:sz w:val="24"/>
            <w:szCs w:val="24"/>
          </w:rPr>
          <w:tab/>
        </w:r>
        <w:r>
          <w:rPr>
            <w:rFonts w:ascii="Times New Roman" w:cs="Times New Roman" w:eastAsia="Times New Roman" w:hAnsi="Times New Roman"/>
            <w:b w:val="false"/>
            <w:bCs w:val="false"/>
            <w:i w:val="false"/>
            <w:iCs w:val="false"/>
            <w:color w:val="000000"/>
            <w:sz w:val="24"/>
            <w:szCs w:val="24"/>
          </w:rPr>
          <w:t xml:space="preserve">8</w:t>
        </w:r>
      </w:hyperlink>
    </w:p>
    <w:p>
      <w:pPr>
        <w:tabs>
          <w:tab w:val="right" w:pos="9746" w:leader="dot"/>
        </w:tabs>
        <w:spacing w:after="60" w:line="260" w:lineRule="auto"/>
        <w:ind w:left="0" w:right="0" w:firstLine="0"/>
        <w:jc w:val="left"/>
      </w:pPr>
      <w:hyperlink w:history="1" w:anchor="tbl_3_3">
        <w:r>
          <w:rPr>
            <w:rFonts w:ascii="Times New Roman" w:cs="Times New Roman" w:eastAsia="Times New Roman" w:hAnsi="Times New Roman"/>
            <w:b w:val="false"/>
            <w:bCs w:val="false"/>
            <w:i w:val="false"/>
            <w:iCs w:val="false"/>
            <w:color w:val="000000"/>
            <w:sz w:val="24"/>
            <w:szCs w:val="24"/>
          </w:rPr>
          <w:t xml:space="preserve">Table 3.3: Low severity findings and observations</w:t>
        </w:r>
        <w:r>
          <w:rPr>
            <w:rFonts w:ascii="Times New Roman" w:cs="Times New Roman" w:eastAsia="Times New Roman" w:hAnsi="Times New Roman"/>
            <w:color w:val="000000"/>
            <w:sz w:val="24"/>
            <w:szCs w:val="24"/>
          </w:rPr>
          <w:tab/>
        </w:r>
        <w:r>
          <w:rPr>
            <w:rFonts w:ascii="Times New Roman" w:cs="Times New Roman" w:eastAsia="Times New Roman" w:hAnsi="Times New Roman"/>
            <w:b w:val="false"/>
            <w:bCs w:val="false"/>
            <w:i w:val="false"/>
            <w:iCs w:val="false"/>
            <w:color w:val="000000"/>
            <w:sz w:val="24"/>
            <w:szCs w:val="24"/>
          </w:rPr>
          <w:t xml:space="preserve">8</w:t>
        </w:r>
      </w:hyperlink>
    </w:p>
    <w:p>
      <w:pPr>
        <w:tabs>
          <w:tab w:val="right" w:pos="9746" w:leader="dot"/>
        </w:tabs>
        <w:spacing w:after="60" w:line="260" w:lineRule="auto"/>
        <w:ind w:left="0" w:right="0" w:firstLine="0"/>
        <w:jc w:val="left"/>
      </w:pPr>
      <w:hyperlink w:history="1" w:anchor="tbl_4_1">
        <w:r>
          <w:rPr>
            <w:rFonts w:ascii="Times New Roman" w:cs="Times New Roman" w:eastAsia="Times New Roman" w:hAnsi="Times New Roman"/>
            <w:b w:val="false"/>
            <w:bCs w:val="false"/>
            <w:i w:val="false"/>
            <w:iCs w:val="false"/>
            <w:color w:val="000000"/>
            <w:sz w:val="24"/>
            <w:szCs w:val="24"/>
          </w:rPr>
          <w:t xml:space="preserve">Table 4.1: Data protection obligations and position</w:t>
        </w:r>
        <w:r>
          <w:rPr>
            <w:rFonts w:ascii="Times New Roman" w:cs="Times New Roman" w:eastAsia="Times New Roman" w:hAnsi="Times New Roman"/>
            <w:color w:val="000000"/>
            <w:sz w:val="24"/>
            <w:szCs w:val="24"/>
          </w:rPr>
          <w:tab/>
        </w:r>
        <w:r>
          <w:rPr>
            <w:rFonts w:ascii="Times New Roman" w:cs="Times New Roman" w:eastAsia="Times New Roman" w:hAnsi="Times New Roman"/>
            <w:b w:val="false"/>
            <w:bCs w:val="false"/>
            <w:i w:val="false"/>
            <w:iCs w:val="false"/>
            <w:color w:val="000000"/>
            <w:sz w:val="24"/>
            <w:szCs w:val="24"/>
          </w:rPr>
          <w:t xml:space="preserve">10</w:t>
        </w:r>
      </w:hyperlink>
    </w:p>
    <w:p>
      <w:pPr>
        <w:tabs>
          <w:tab w:val="right" w:pos="9746" w:leader="dot"/>
        </w:tabs>
        <w:spacing w:after="60" w:line="260" w:lineRule="auto"/>
        <w:ind w:left="0" w:right="0" w:firstLine="0"/>
        <w:jc w:val="left"/>
      </w:pPr>
      <w:hyperlink w:history="1" w:anchor="tbl_5_1">
        <w:r>
          <w:rPr>
            <w:rFonts w:ascii="Times New Roman" w:cs="Times New Roman" w:eastAsia="Times New Roman" w:hAnsi="Times New Roman"/>
            <w:b w:val="false"/>
            <w:bCs w:val="false"/>
            <w:i w:val="false"/>
            <w:iCs w:val="false"/>
            <w:color w:val="000000"/>
            <w:sz w:val="24"/>
            <w:szCs w:val="24"/>
          </w:rPr>
          <w:t xml:space="preserve">Table 5.1: Remediation required before user testing</w:t>
        </w:r>
        <w:r>
          <w:rPr>
            <w:rFonts w:ascii="Times New Roman" w:cs="Times New Roman" w:eastAsia="Times New Roman" w:hAnsi="Times New Roman"/>
            <w:color w:val="000000"/>
            <w:sz w:val="24"/>
            <w:szCs w:val="24"/>
          </w:rPr>
          <w:tab/>
        </w:r>
        <w:r>
          <w:rPr>
            <w:rFonts w:ascii="Times New Roman" w:cs="Times New Roman" w:eastAsia="Times New Roman" w:hAnsi="Times New Roman"/>
            <w:b w:val="false"/>
            <w:bCs w:val="false"/>
            <w:i w:val="false"/>
            <w:iCs w:val="false"/>
            <w:color w:val="000000"/>
            <w:sz w:val="24"/>
            <w:szCs w:val="24"/>
          </w:rPr>
          <w:t xml:space="preserve">11</w:t>
        </w:r>
      </w:hyperlink>
    </w:p>
    <w:p>
      <w:pPr>
        <w:tabs>
          <w:tab w:val="right" w:pos="9746" w:leader="dot"/>
        </w:tabs>
        <w:spacing w:after="60" w:line="260" w:lineRule="auto"/>
        <w:ind w:left="0" w:right="0" w:firstLine="0"/>
        <w:jc w:val="left"/>
      </w:pPr>
      <w:hyperlink w:history="1" w:anchor="tbl_5_2">
        <w:r>
          <w:rPr>
            <w:rFonts w:ascii="Times New Roman" w:cs="Times New Roman" w:eastAsia="Times New Roman" w:hAnsi="Times New Roman"/>
            <w:b w:val="false"/>
            <w:bCs w:val="false"/>
            <w:i w:val="false"/>
            <w:iCs w:val="false"/>
            <w:color w:val="000000"/>
            <w:sz w:val="24"/>
            <w:szCs w:val="24"/>
          </w:rPr>
          <w:t xml:space="preserve">Table 5.2: Remediation required before any real clinical record</w:t>
        </w:r>
        <w:r>
          <w:rPr>
            <w:rFonts w:ascii="Times New Roman" w:cs="Times New Roman" w:eastAsia="Times New Roman" w:hAnsi="Times New Roman"/>
            <w:color w:val="000000"/>
            <w:sz w:val="24"/>
            <w:szCs w:val="24"/>
          </w:rPr>
          <w:tab/>
        </w:r>
        <w:r>
          <w:rPr>
            <w:rFonts w:ascii="Times New Roman" w:cs="Times New Roman" w:eastAsia="Times New Roman" w:hAnsi="Times New Roman"/>
            <w:b w:val="false"/>
            <w:bCs w:val="false"/>
            <w:i w:val="false"/>
            <w:iCs w:val="false"/>
            <w:color w:val="000000"/>
            <w:sz w:val="24"/>
            <w:szCs w:val="24"/>
          </w:rPr>
          <w:t xml:space="preserve">11</w:t>
        </w:r>
      </w:hyperlink>
    </w:p>
    <w:p>
      <w:pPr>
        <w:tabs>
          <w:tab w:val="right" w:pos="9746" w:leader="dot"/>
        </w:tabs>
        <w:spacing w:after="60" w:line="260" w:lineRule="auto"/>
        <w:ind w:left="0" w:right="0" w:firstLine="0"/>
        <w:jc w:val="left"/>
      </w:pPr>
      <w:hyperlink w:history="1" w:anchor="tbl_6_1">
        <w:r>
          <w:rPr>
            <w:rFonts w:ascii="Times New Roman" w:cs="Times New Roman" w:eastAsia="Times New Roman" w:hAnsi="Times New Roman"/>
            <w:b w:val="false"/>
            <w:bCs w:val="false"/>
            <w:i w:val="false"/>
            <w:iCs w:val="false"/>
            <w:color w:val="000000"/>
            <w:sz w:val="24"/>
            <w:szCs w:val="24"/>
          </w:rPr>
          <w:t xml:space="preserve">Table 6.1: Information security review sign-off</w:t>
        </w:r>
        <w:r>
          <w:rPr>
            <w:rFonts w:ascii="Times New Roman" w:cs="Times New Roman" w:eastAsia="Times New Roman" w:hAnsi="Times New Roman"/>
            <w:color w:val="000000"/>
            <w:sz w:val="24"/>
            <w:szCs w:val="24"/>
          </w:rPr>
          <w:tab/>
        </w:r>
        <w:r>
          <w:rPr>
            <w:rFonts w:ascii="Times New Roman" w:cs="Times New Roman" w:eastAsia="Times New Roman" w:hAnsi="Times New Roman"/>
            <w:b w:val="false"/>
            <w:bCs w:val="false"/>
            <w:i w:val="false"/>
            <w:iCs w:val="false"/>
            <w:color w:val="000000"/>
            <w:sz w:val="24"/>
            <w:szCs w:val="24"/>
          </w:rPr>
          <w:t xml:space="preserve">12</w:t>
        </w:r>
      </w:hyperlink>
    </w:p>
    <w:p>
      <w:r>
        <w:br w:type="page"/>
      </w:r>
    </w:p>
    <w:p>
      <w:pPr>
        <w:pStyle w:val="Heading1"/>
        <w:numPr>
          <w:ilvl w:val="0"/>
          <w:numId w:val="2"/>
        </w:numPr>
        <w:spacing w:after="170" w:before="300"/>
        <w:ind w:left="0" w:right="0" w:firstLine="0"/>
        <w:jc w:val="left"/>
      </w:pPr>
      <w:bookmarkStart w:name="h_1" w:id="1"/>
      <w:r>
        <w:rPr>
          <w:rFonts w:ascii="Times New Roman" w:cs="Times New Roman" w:eastAsia="Times New Roman" w:hAnsi="Times New Roman"/>
          <w:b/>
          <w:bCs/>
          <w:i w:val="false"/>
          <w:iCs w:val="false"/>
          <w:color w:val="000000"/>
          <w:sz w:val="24"/>
          <w:szCs w:val="24"/>
        </w:rPr>
        <w:t xml:space="preserve">Introduction</w:t>
      </w:r>
      <w:bookmarkEnd w:id="1"/>
    </w:p>
    <w:p>
      <w:pPr>
        <w:pStyle w:val="Heading2"/>
        <w:numPr>
          <w:ilvl w:val="1"/>
          <w:numId w:val="2"/>
        </w:numPr>
        <w:spacing w:after="150" w:before="270"/>
        <w:ind w:left="0" w:right="0" w:firstLine="0"/>
        <w:jc w:val="left"/>
      </w:pPr>
      <w:bookmarkStart w:name="h_2" w:id="1"/>
      <w:r>
        <w:rPr>
          <w:rFonts w:ascii="Times New Roman" w:cs="Times New Roman" w:eastAsia="Times New Roman" w:hAnsi="Times New Roman"/>
          <w:b/>
          <w:bCs/>
          <w:i w:val="false"/>
          <w:iCs w:val="false"/>
          <w:color w:val="000000"/>
          <w:sz w:val="24"/>
          <w:szCs w:val="24"/>
        </w:rPr>
        <w:t xml:space="preserve">Purpose</w:t>
      </w:r>
      <w:bookmarkEnd w:id="1"/>
    </w:p>
    <w:p>
      <w:pPr>
        <w:spacing w:after="160" w:line="276" w:lineRule="auto"/>
        <w:ind w:left="0" w:right="0" w:firstLine="0"/>
        <w:jc w:val="both"/>
      </w:pPr>
      <w:r>
        <w:rPr>
          <w:rFonts w:ascii="Times New Roman" w:cs="Times New Roman" w:eastAsia="Times New Roman" w:hAnsi="Times New Roman"/>
          <w:b w:val="false"/>
          <w:bCs w:val="false"/>
          <w:i w:val="false"/>
          <w:iCs w:val="false"/>
          <w:color w:val="000000"/>
          <w:sz w:val="24"/>
          <w:szCs w:val="24"/>
        </w:rPr>
        <w:t xml:space="preserve">This review records the security posture of the Health and Wellness Management System as built, identifies the weaknesses that exist in it, and states what must be closed before the system is used for testing and before it is ever used for real clinical records. It is written to be usable as a working remediation plan rather than as a compliance statement.</w:t>
      </w:r>
    </w:p>
    <w:p>
      <w:pPr>
        <w:pStyle w:val="Heading2"/>
        <w:numPr>
          <w:ilvl w:val="1"/>
          <w:numId w:val="2"/>
        </w:numPr>
        <w:spacing w:after="150" w:before="270"/>
        <w:ind w:left="0" w:right="0" w:firstLine="0"/>
        <w:jc w:val="left"/>
      </w:pPr>
      <w:bookmarkStart w:name="h_3" w:id="1"/>
      <w:r>
        <w:rPr>
          <w:rFonts w:ascii="Times New Roman" w:cs="Times New Roman" w:eastAsia="Times New Roman" w:hAnsi="Times New Roman"/>
          <w:b/>
          <w:bCs/>
          <w:i w:val="false"/>
          <w:iCs w:val="false"/>
          <w:color w:val="000000"/>
          <w:sz w:val="24"/>
          <w:szCs w:val="24"/>
        </w:rPr>
        <w:t xml:space="preserve">Why this system warrants a review</w:t>
      </w:r>
      <w:bookmarkEnd w:id="1"/>
    </w:p>
    <w:p>
      <w:pPr>
        <w:spacing w:after="160" w:line="276" w:lineRule="auto"/>
        <w:ind w:left="0" w:right="0" w:firstLine="0"/>
        <w:jc w:val="both"/>
      </w:pPr>
      <w:r>
        <w:rPr>
          <w:rFonts w:ascii="Times New Roman" w:cs="Times New Roman" w:eastAsia="Times New Roman" w:hAnsi="Times New Roman"/>
          <w:b w:val="false"/>
          <w:bCs w:val="false"/>
          <w:i w:val="false"/>
          <w:iCs w:val="false"/>
          <w:color w:val="000000"/>
          <w:sz w:val="24"/>
          <w:szCs w:val="24"/>
        </w:rPr>
        <w:t xml:space="preserve">The system holds data concerning health, which the Data Protection and Privacy Act, 2019 treats as special personal data attracting the highest protection. It holds that data about employees, on behalf of their employer. The risk therefore is not only that an outsider reads a record. It is that a colleague reads one, and that an employee suffers an employment consequence from a medical disclosure.</w:t>
      </w:r>
    </w:p>
    <w:p>
      <w:pPr>
        <w:spacing w:after="160" w:line="276" w:lineRule="auto"/>
        <w:ind w:left="0" w:right="0" w:firstLine="0"/>
        <w:jc w:val="both"/>
      </w:pPr>
      <w:r>
        <w:rPr>
          <w:rFonts w:ascii="Times New Roman" w:cs="Times New Roman" w:eastAsia="Times New Roman" w:hAnsi="Times New Roman"/>
          <w:b w:val="false"/>
          <w:bCs w:val="false"/>
          <w:i w:val="false"/>
          <w:iCs w:val="false"/>
          <w:color w:val="000000"/>
          <w:sz w:val="24"/>
          <w:szCs w:val="24"/>
        </w:rPr>
        <w:t xml:space="preserve">That shapes the whole assessment. The controls examined most closely are the ones that separate the clinical record from the rest of the organisation, and the ability of the system to say afterwards who read what.</w:t>
      </w:r>
    </w:p>
    <w:p>
      <w:pPr>
        <w:pStyle w:val="Heading2"/>
        <w:numPr>
          <w:ilvl w:val="1"/>
          <w:numId w:val="2"/>
        </w:numPr>
        <w:spacing w:after="150" w:before="270"/>
        <w:ind w:left="0" w:right="0" w:firstLine="0"/>
        <w:jc w:val="left"/>
      </w:pPr>
      <w:bookmarkStart w:name="h_4" w:id="1"/>
      <w:r>
        <w:rPr>
          <w:rFonts w:ascii="Times New Roman" w:cs="Times New Roman" w:eastAsia="Times New Roman" w:hAnsi="Times New Roman"/>
          <w:b/>
          <w:bCs/>
          <w:i w:val="false"/>
          <w:iCs w:val="false"/>
          <w:color w:val="000000"/>
          <w:sz w:val="24"/>
          <w:szCs w:val="24"/>
        </w:rPr>
        <w:t xml:space="preserve">Scope</w:t>
      </w:r>
      <w:bookmarkEnd w:id="1"/>
    </w:p>
    <w:p>
      <w:pPr>
        <w:spacing w:after="160" w:line="276" w:lineRule="auto"/>
        <w:ind w:left="0" w:right="0" w:firstLine="0"/>
        <w:jc w:val="both"/>
      </w:pPr>
      <w:r>
        <w:rPr>
          <w:rFonts w:ascii="Times New Roman" w:cs="Times New Roman" w:eastAsia="Times New Roman" w:hAnsi="Times New Roman"/>
          <w:b w:val="false"/>
          <w:bCs w:val="false"/>
          <w:i w:val="false"/>
          <w:iCs w:val="false"/>
          <w:color w:val="000000"/>
          <w:sz w:val="24"/>
          <w:szCs w:val="24"/>
        </w:rPr>
        <w:t xml:space="preserve">The review covers the application as delivered. That is the sign in and session design, the authorisation model, the clinical confidentiality controls, the audit and access logging, secret handling, container construction and the handling of personal data.</w:t>
      </w:r>
    </w:p>
    <w:p>
      <w:pPr>
        <w:spacing w:after="160" w:line="276" w:lineRule="auto"/>
        <w:ind w:left="0" w:right="0" w:firstLine="0"/>
        <w:jc w:val="both"/>
      </w:pPr>
      <w:r>
        <w:rPr>
          <w:rFonts w:ascii="Times New Roman" w:cs="Times New Roman" w:eastAsia="Times New Roman" w:hAnsi="Times New Roman"/>
          <w:b w:val="false"/>
          <w:bCs w:val="false"/>
          <w:i w:val="false"/>
          <w:iCs w:val="false"/>
          <w:color w:val="000000"/>
          <w:sz w:val="24"/>
          <w:szCs w:val="24"/>
        </w:rPr>
        <w:t xml:space="preserve">The review does not cover the physical security of any hosting site, the security of the KMC network into which the system would be deployed, or the internal security of Keycloak as a product. It is not a penetration test. It is a design and implementation review conducted against the delivered source, schema, configuration and tests.</w:t>
      </w:r>
    </w:p>
    <w:p>
      <w:pPr>
        <w:pStyle w:val="Heading2"/>
        <w:numPr>
          <w:ilvl w:val="1"/>
          <w:numId w:val="2"/>
        </w:numPr>
        <w:spacing w:after="150" w:before="270"/>
        <w:ind w:left="0" w:right="0" w:firstLine="0"/>
        <w:jc w:val="left"/>
      </w:pPr>
      <w:bookmarkStart w:name="h_5" w:id="1"/>
      <w:r>
        <w:rPr>
          <w:rFonts w:ascii="Times New Roman" w:cs="Times New Roman" w:eastAsia="Times New Roman" w:hAnsi="Times New Roman"/>
          <w:b/>
          <w:bCs/>
          <w:i w:val="false"/>
          <w:iCs w:val="false"/>
          <w:color w:val="000000"/>
          <w:sz w:val="24"/>
          <w:szCs w:val="24"/>
        </w:rPr>
        <w:t xml:space="preserve">Severity scale</w:t>
      </w:r>
      <w:bookmarkEnd w:id="1"/>
    </w:p>
    <w:p>
      <w:pPr>
        <w:pStyle w:val="TableCaption"/>
        <w:spacing w:after="120" w:before="120"/>
        <w:ind w:left="0" w:right="0" w:firstLine="0"/>
        <w:jc w:val="left"/>
      </w:pPr>
      <w:bookmarkStart w:name="tbl_1_1" w:id="1"/>
      <w:r>
        <w:rPr>
          <w:rFonts w:ascii="Times New Roman" w:cs="Times New Roman" w:eastAsia="Times New Roman" w:hAnsi="Times New Roman"/>
          <w:b w:val="false"/>
          <w:bCs w:val="false"/>
          <w:i/>
          <w:iCs/>
          <w:color w:val="000000"/>
          <w:sz w:val="18"/>
          <w:szCs w:val="18"/>
        </w:rPr>
        <w:t xml:space="preserve">Table 1.1</w:t>
      </w:r>
      <w:bookmarkEnd w:id="1"/>
      <w:r>
        <w:rPr>
          <w:rFonts w:ascii="Times New Roman" w:cs="Times New Roman" w:eastAsia="Times New Roman" w:hAnsi="Times New Roman"/>
          <w:b w:val="false"/>
          <w:bCs w:val="false"/>
          <w:i/>
          <w:iCs/>
          <w:color w:val="000000"/>
          <w:sz w:val="18"/>
          <w:szCs w:val="18"/>
        </w:rPr>
        <w:t xml:space="preserve">: Finding severity definitions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620"/>
        <w:gridCol w:w="1489"/>
        <w:gridCol w:w="4656"/>
        <w:gridCol w:w="2979"/>
      </w:tblGrid>
      <w:tr>
        <w:trPr>
          <w:tblHeader/>
        </w:trPr>
        <w:tc>
          <w:tcPr>
            <w:tcW w:type="dxa" w:w="620"/>
            <w:tcBorders>
              <w:top w:val="single" w:color="000000" w:sz="4"/>
              <w:left w:val="single" w:color="000000" w:sz="4"/>
              <w:bottom w:val="single" w:color="000000" w:sz="4"/>
              <w:right w:val="single" w:color="000000" w:sz="4"/>
            </w:tcBorders>
            <w:shd w:fill="D9D9D9" w:color="auto" w:val="clear"/>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bCs/>
                <w:i w:val="false"/>
                <w:iCs w:val="false"/>
                <w:color w:val="000000"/>
                <w:sz w:val="20"/>
                <w:szCs w:val="20"/>
              </w:rPr>
              <w:t xml:space="preserve">S/N</w:t>
            </w:r>
          </w:p>
        </w:tc>
        <w:tc>
          <w:tcPr>
            <w:tcW w:type="dxa" w:w="1489"/>
            <w:tcBorders>
              <w:top w:val="single" w:color="000000" w:sz="4"/>
              <w:left w:val="single" w:color="000000" w:sz="4"/>
              <w:bottom w:val="single" w:color="000000" w:sz="4"/>
              <w:right w:val="single" w:color="000000" w:sz="4"/>
            </w:tcBorders>
            <w:shd w:fill="D9D9D9" w:color="auto" w:val="clear"/>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bCs/>
                <w:i w:val="false"/>
                <w:iCs w:val="false"/>
                <w:color w:val="000000"/>
                <w:sz w:val="20"/>
                <w:szCs w:val="20"/>
              </w:rPr>
              <w:t xml:space="preserve">Severity</w:t>
            </w:r>
          </w:p>
        </w:tc>
        <w:tc>
          <w:tcPr>
            <w:tcW w:type="dxa" w:w="4656"/>
            <w:tcBorders>
              <w:top w:val="single" w:color="000000" w:sz="4"/>
              <w:left w:val="single" w:color="000000" w:sz="4"/>
              <w:bottom w:val="single" w:color="000000" w:sz="4"/>
              <w:right w:val="single" w:color="000000" w:sz="4"/>
            </w:tcBorders>
            <w:shd w:fill="D9D9D9" w:color="auto" w:val="clear"/>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bCs/>
                <w:i w:val="false"/>
                <w:iCs w:val="false"/>
                <w:color w:val="000000"/>
                <w:sz w:val="20"/>
                <w:szCs w:val="20"/>
              </w:rPr>
              <w:t xml:space="preserve">Definition</w:t>
            </w:r>
          </w:p>
        </w:tc>
        <w:tc>
          <w:tcPr>
            <w:tcW w:type="dxa" w:w="2979"/>
            <w:tcBorders>
              <w:top w:val="single" w:color="000000" w:sz="4"/>
              <w:left w:val="single" w:color="000000" w:sz="4"/>
              <w:bottom w:val="single" w:color="000000" w:sz="4"/>
              <w:right w:val="single" w:color="000000" w:sz="4"/>
            </w:tcBorders>
            <w:shd w:fill="D9D9D9" w:color="auto" w:val="clear"/>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bCs/>
                <w:i w:val="false"/>
                <w:iCs w:val="false"/>
                <w:color w:val="000000"/>
                <w:sz w:val="20"/>
                <w:szCs w:val="20"/>
              </w:rPr>
              <w:t xml:space="preserve">Required response</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1</w:t>
            </w:r>
          </w:p>
        </w:tc>
        <w:tc>
          <w:tcPr>
            <w:tcW w:type="dxa" w:w="1489"/>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Critical</w:t>
            </w:r>
          </w:p>
        </w:tc>
        <w:tc>
          <w:tcPr>
            <w:tcW w:type="dxa" w:w="4656"/>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Allows an unauthorised party to read a clinical record, or to act as an authorised user</w:t>
            </w:r>
          </w:p>
        </w:tc>
        <w:tc>
          <w:tcPr>
            <w:tcW w:type="dxa" w:w="2979"/>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Close before any use, including testing</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2</w:t>
            </w:r>
          </w:p>
        </w:tc>
        <w:tc>
          <w:tcPr>
            <w:tcW w:type="dxa" w:w="1489"/>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High</w:t>
            </w:r>
          </w:p>
        </w:tc>
        <w:tc>
          <w:tcPr>
            <w:tcW w:type="dxa" w:w="4656"/>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Materially increases the likelihood of account compromise, or removes the ability to detect misuse</w:t>
            </w:r>
          </w:p>
        </w:tc>
        <w:tc>
          <w:tcPr>
            <w:tcW w:type="dxa" w:w="2979"/>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Close before real clinical records are entered</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3</w:t>
            </w:r>
          </w:p>
        </w:tc>
        <w:tc>
          <w:tcPr>
            <w:tcW w:type="dxa" w:w="1489"/>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Medium</w:t>
            </w:r>
          </w:p>
        </w:tc>
        <w:tc>
          <w:tcPr>
            <w:tcW w:type="dxa" w:w="4656"/>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Weakens defence in depth or the ability to investigate</w:t>
            </w:r>
          </w:p>
        </w:tc>
        <w:tc>
          <w:tcPr>
            <w:tcW w:type="dxa" w:w="2979"/>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Close within the first release after go live</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4</w:t>
            </w:r>
          </w:p>
        </w:tc>
        <w:tc>
          <w:tcPr>
            <w:tcW w:type="dxa" w:w="1489"/>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Low</w:t>
            </w:r>
          </w:p>
        </w:tc>
        <w:tc>
          <w:tcPr>
            <w:tcW w:type="dxa" w:w="4656"/>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Hardening opportunity with limited practical exposure as deployed</w:t>
            </w:r>
          </w:p>
        </w:tc>
        <w:tc>
          <w:tcPr>
            <w:tcW w:type="dxa" w:w="2979"/>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Close when the affected component is next changed</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5</w:t>
            </w:r>
          </w:p>
        </w:tc>
        <w:tc>
          <w:tcPr>
            <w:tcW w:type="dxa" w:w="1489"/>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Observation</w:t>
            </w:r>
          </w:p>
        </w:tc>
        <w:tc>
          <w:tcPr>
            <w:tcW w:type="dxa" w:w="4656"/>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No action strictly required. Recorded to inform later design</w:t>
            </w:r>
          </w:p>
        </w:tc>
        <w:tc>
          <w:tcPr>
            <w:tcW w:type="dxa" w:w="2979"/>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No deadline</w:t>
            </w:r>
          </w:p>
        </w:tc>
      </w:tr>
    </w:tbl>
    <w:p>
      <w:pPr>
        <w:pStyle w:val="Heading1"/>
        <w:numPr>
          <w:ilvl w:val="0"/>
          <w:numId w:val="2"/>
        </w:numPr>
        <w:spacing w:after="170" w:before="300"/>
        <w:ind w:left="0" w:right="0" w:firstLine="0"/>
        <w:jc w:val="left"/>
      </w:pPr>
      <w:bookmarkStart w:name="h_6" w:id="1"/>
      <w:r>
        <w:rPr>
          <w:rFonts w:ascii="Times New Roman" w:cs="Times New Roman" w:eastAsia="Times New Roman" w:hAnsi="Times New Roman"/>
          <w:b/>
          <w:bCs/>
          <w:i w:val="false"/>
          <w:iCs w:val="false"/>
          <w:color w:val="000000"/>
          <w:sz w:val="24"/>
          <w:szCs w:val="24"/>
        </w:rPr>
        <w:t xml:space="preserve">Security architecture</w:t>
      </w:r>
      <w:bookmarkEnd w:id="1"/>
    </w:p>
    <w:p>
      <w:pPr>
        <w:pStyle w:val="Heading2"/>
        <w:numPr>
          <w:ilvl w:val="1"/>
          <w:numId w:val="2"/>
        </w:numPr>
        <w:spacing w:after="150" w:before="270"/>
        <w:ind w:left="0" w:right="0" w:firstLine="0"/>
        <w:jc w:val="left"/>
      </w:pPr>
      <w:bookmarkStart w:name="h_7" w:id="1"/>
      <w:r>
        <w:rPr>
          <w:rFonts w:ascii="Times New Roman" w:cs="Times New Roman" w:eastAsia="Times New Roman" w:hAnsi="Times New Roman"/>
          <w:b/>
          <w:bCs/>
          <w:i w:val="false"/>
          <w:iCs w:val="false"/>
          <w:color w:val="000000"/>
          <w:sz w:val="24"/>
          <w:szCs w:val="24"/>
        </w:rPr>
        <w:t xml:space="preserve">Identity and session</w:t>
      </w:r>
      <w:bookmarkEnd w:id="1"/>
    </w:p>
    <w:p>
      <w:pPr>
        <w:spacing w:after="160" w:line="276" w:lineRule="auto"/>
        <w:ind w:left="0" w:right="0" w:firstLine="0"/>
        <w:jc w:val="both"/>
      </w:pPr>
      <w:r>
        <w:rPr>
          <w:rFonts w:ascii="Times New Roman" w:cs="Times New Roman" w:eastAsia="Times New Roman" w:hAnsi="Times New Roman"/>
          <w:b w:val="false"/>
          <w:bCs w:val="false"/>
          <w:i w:val="false"/>
          <w:iCs w:val="false"/>
          <w:color w:val="000000"/>
          <w:sz w:val="24"/>
          <w:szCs w:val="24"/>
        </w:rPr>
        <w:t xml:space="preserve">Authentication is delegated entirely to Keycloak. The application never receives a password, which removes a whole category of risk and means that password policy, lockout, multi factor authentication and later corporate single sign on are configuration rather than code.</w:t>
      </w:r>
    </w:p>
    <w:p>
      <w:pPr>
        <w:spacing w:after="160" w:line="276" w:lineRule="auto"/>
        <w:ind w:left="0" w:right="0" w:firstLine="0"/>
        <w:jc w:val="both"/>
      </w:pPr>
      <w:r>
        <w:rPr>
          <w:rFonts w:ascii="Times New Roman" w:cs="Times New Roman" w:eastAsia="Times New Roman" w:hAnsi="Times New Roman"/>
          <w:b w:val="false"/>
          <w:bCs w:val="false"/>
          <w:i w:val="false"/>
          <w:iCs w:val="false"/>
          <w:color w:val="000000"/>
          <w:sz w:val="24"/>
          <w:szCs w:val="24"/>
        </w:rPr>
        <w:t xml:space="preserve">The browser holds no token. The gateway completes the sign in exchange, keeps the tokens in server side session state and issues the browser an opaque identifier in a cookie marked HttpOnly, Secure and SameSite. A token readable by any script on the page would be an unacceptable exposure in a system holding health data, and this design removes it.</w:t>
      </w:r>
    </w:p>
    <w:p>
      <w:pPr>
        <w:spacing w:after="160" w:line="276" w:lineRule="auto"/>
        <w:ind w:left="0" w:right="0" w:firstLine="0"/>
        <w:jc w:val="both"/>
      </w:pPr>
      <w:r>
        <w:rPr>
          <w:rFonts w:ascii="Times New Roman" w:cs="Times New Roman" w:eastAsia="Times New Roman" w:hAnsi="Times New Roman"/>
          <w:b w:val="false"/>
          <w:bCs w:val="false"/>
          <w:i w:val="false"/>
          <w:iCs w:val="false"/>
          <w:color w:val="000000"/>
          <w:sz w:val="24"/>
          <w:szCs w:val="24"/>
        </w:rPr>
        <w:t xml:space="preserve">Sign in uses the authorisation code flow with a proof key, so an intercepted authorisation code cannot be exchanged by another party. Session lifetime is bounded by inactivity rather than by age, which is the appropriate control for shared clinic workstations.</w:t>
      </w:r>
    </w:p>
    <w:p>
      <w:pPr>
        <w:pStyle w:val="Heading2"/>
        <w:numPr>
          <w:ilvl w:val="1"/>
          <w:numId w:val="2"/>
        </w:numPr>
        <w:spacing w:after="150" w:before="270"/>
        <w:ind w:left="0" w:right="0" w:firstLine="0"/>
        <w:jc w:val="left"/>
      </w:pPr>
      <w:bookmarkStart w:name="h_8" w:id="1"/>
      <w:r>
        <w:rPr>
          <w:rFonts w:ascii="Times New Roman" w:cs="Times New Roman" w:eastAsia="Times New Roman" w:hAnsi="Times New Roman"/>
          <w:b/>
          <w:bCs/>
          <w:i w:val="false"/>
          <w:iCs w:val="false"/>
          <w:color w:val="000000"/>
          <w:sz w:val="24"/>
          <w:szCs w:val="24"/>
        </w:rPr>
        <w:t xml:space="preserve">Authorisation</w:t>
      </w:r>
      <w:bookmarkEnd w:id="1"/>
    </w:p>
    <w:p>
      <w:pPr>
        <w:spacing w:after="160" w:line="276" w:lineRule="auto"/>
        <w:ind w:left="0" w:right="0" w:firstLine="0"/>
        <w:jc w:val="both"/>
      </w:pPr>
      <w:r>
        <w:rPr>
          <w:rFonts w:ascii="Times New Roman" w:cs="Times New Roman" w:eastAsia="Times New Roman" w:hAnsi="Times New Roman"/>
          <w:b w:val="false"/>
          <w:bCs w:val="false"/>
          <w:i w:val="false"/>
          <w:iCs w:val="false"/>
          <w:color w:val="000000"/>
          <w:sz w:val="24"/>
          <w:szCs w:val="24"/>
        </w:rPr>
        <w:t xml:space="preserve">Every service validates the token independently rather than trusting the gateway to have done so. Within a service, authorisation is checked twice, once in the request handler and once in the service layer. The second check is not redundant. It protects a code path reached from a scheduled job or an internal caller that never passes through a handler.</w:t>
      </w:r>
    </w:p>
    <w:p>
      <w:pPr>
        <w:pStyle w:val="Heading2"/>
        <w:numPr>
          <w:ilvl w:val="1"/>
          <w:numId w:val="2"/>
        </w:numPr>
        <w:spacing w:after="150" w:before="270"/>
        <w:ind w:left="0" w:right="0" w:firstLine="0"/>
        <w:jc w:val="left"/>
      </w:pPr>
      <w:bookmarkStart w:name="h_9" w:id="1"/>
      <w:r>
        <w:rPr>
          <w:rFonts w:ascii="Times New Roman" w:cs="Times New Roman" w:eastAsia="Times New Roman" w:hAnsi="Times New Roman"/>
          <w:b/>
          <w:bCs/>
          <w:i w:val="false"/>
          <w:iCs w:val="false"/>
          <w:color w:val="000000"/>
          <w:sz w:val="24"/>
          <w:szCs w:val="24"/>
        </w:rPr>
        <w:t xml:space="preserve">Clinical confidentiality</w:t>
      </w:r>
      <w:bookmarkEnd w:id="1"/>
    </w:p>
    <w:p>
      <w:pPr>
        <w:spacing w:after="160" w:line="276" w:lineRule="auto"/>
        <w:ind w:left="0" w:right="0" w:firstLine="0"/>
        <w:jc w:val="both"/>
      </w:pPr>
      <w:r>
        <w:rPr>
          <w:rFonts w:ascii="Times New Roman" w:cs="Times New Roman" w:eastAsia="Times New Roman" w:hAnsi="Times New Roman"/>
          <w:b w:val="false"/>
          <w:bCs w:val="false"/>
          <w:i w:val="false"/>
          <w:iCs w:val="false"/>
          <w:color w:val="000000"/>
          <w:sz w:val="24"/>
          <w:szCs w:val="24"/>
        </w:rPr>
        <w:t xml:space="preserve">The rule that only the Health and Wellness Officer may retrieve an individual clinical record is enforced in four independent places.</w:t>
      </w:r>
    </w:p>
    <w:p>
      <w:pPr>
        <w:spacing w:after="60" w:before="160" w:line="240" w:lineRule="auto"/>
        <w:jc w:val="center"/>
      </w:pPr>
      <w:r>
        <w:drawing>
          <wp:inline distT="0" distB="0" distL="0" distR="0">
            <wp:extent cx="5905500" cy="3028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3028950"/>
                    </a:xfrm>
                    <a:prstGeom prst="rect">
                      <a:avLst/>
                    </a:prstGeom>
                  </pic:spPr>
                </pic:pic>
              </a:graphicData>
            </a:graphic>
          </wp:inline>
        </w:drawing>
      </w:r>
    </w:p>
    <w:p>
      <w:pPr>
        <w:pStyle w:val="FigureCaption"/>
        <w:spacing w:after="120" w:before="120"/>
        <w:ind w:left="0" w:right="0" w:firstLine="0"/>
        <w:jc w:val="left"/>
      </w:pPr>
      <w:bookmarkStart w:name="fig_2_1" w:id="1"/>
      <w:r>
        <w:rPr>
          <w:rFonts w:ascii="Times New Roman" w:cs="Times New Roman" w:eastAsia="Times New Roman" w:hAnsi="Times New Roman"/>
          <w:b w:val="false"/>
          <w:bCs w:val="false"/>
          <w:i/>
          <w:iCs/>
          <w:color w:val="000000"/>
          <w:sz w:val="18"/>
          <w:szCs w:val="18"/>
        </w:rPr>
        <w:t xml:space="preserve">Figure 2.1</w:t>
      </w:r>
      <w:bookmarkEnd w:id="1"/>
      <w:r>
        <w:rPr>
          <w:rFonts w:ascii="Times New Roman" w:cs="Times New Roman" w:eastAsia="Times New Roman" w:hAnsi="Times New Roman"/>
          <w:b w:val="false"/>
          <w:bCs w:val="false"/>
          <w:i/>
          <w:iCs/>
          <w:color w:val="000000"/>
          <w:sz w:val="18"/>
          <w:szCs w:val="18"/>
        </w:rPr>
        <w:t xml:space="preserve">: The four layers enforcing clinical access</w:t>
      </w:r>
    </w:p>
    <w:p>
      <w:pPr>
        <w:pStyle w:val="TableCaption"/>
        <w:spacing w:after="120" w:before="120"/>
        <w:ind w:left="0" w:right="0" w:firstLine="0"/>
        <w:jc w:val="left"/>
      </w:pPr>
      <w:bookmarkStart w:name="tbl_2_1" w:id="1"/>
      <w:r>
        <w:rPr>
          <w:rFonts w:ascii="Times New Roman" w:cs="Times New Roman" w:eastAsia="Times New Roman" w:hAnsi="Times New Roman"/>
          <w:b w:val="false"/>
          <w:bCs w:val="false"/>
          <w:i/>
          <w:iCs/>
          <w:color w:val="000000"/>
          <w:sz w:val="18"/>
          <w:szCs w:val="18"/>
        </w:rPr>
        <w:t xml:space="preserve">Table 2.1</w:t>
      </w:r>
      <w:bookmarkEnd w:id="1"/>
      <w:r>
        <w:rPr>
          <w:rFonts w:ascii="Times New Roman" w:cs="Times New Roman" w:eastAsia="Times New Roman" w:hAnsi="Times New Roman"/>
          <w:b w:val="false"/>
          <w:bCs w:val="false"/>
          <w:i/>
          <w:iCs/>
          <w:color w:val="000000"/>
          <w:sz w:val="18"/>
          <w:szCs w:val="18"/>
        </w:rPr>
        <w:t xml:space="preserve">: Clinical access controls and their assessment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620"/>
        <w:gridCol w:w="1901"/>
        <w:gridCol w:w="3802"/>
        <w:gridCol w:w="3422"/>
      </w:tblGrid>
      <w:tr>
        <w:trPr>
          <w:tblHeader/>
        </w:trPr>
        <w:tc>
          <w:tcPr>
            <w:tcW w:type="dxa" w:w="620"/>
            <w:tcBorders>
              <w:top w:val="single" w:color="000000" w:sz="4"/>
              <w:left w:val="single" w:color="000000" w:sz="4"/>
              <w:bottom w:val="single" w:color="000000" w:sz="4"/>
              <w:right w:val="single" w:color="000000" w:sz="4"/>
            </w:tcBorders>
            <w:shd w:fill="D9D9D9" w:color="auto" w:val="clear"/>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bCs/>
                <w:i w:val="false"/>
                <w:iCs w:val="false"/>
                <w:color w:val="000000"/>
                <w:sz w:val="20"/>
                <w:szCs w:val="20"/>
              </w:rPr>
              <w:t xml:space="preserve">S/N</w:t>
            </w:r>
          </w:p>
        </w:tc>
        <w:tc>
          <w:tcPr>
            <w:tcW w:type="dxa" w:w="1901"/>
            <w:tcBorders>
              <w:top w:val="single" w:color="000000" w:sz="4"/>
              <w:left w:val="single" w:color="000000" w:sz="4"/>
              <w:bottom w:val="single" w:color="000000" w:sz="4"/>
              <w:right w:val="single" w:color="000000" w:sz="4"/>
            </w:tcBorders>
            <w:shd w:fill="D9D9D9" w:color="auto" w:val="clear"/>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bCs/>
                <w:i w:val="false"/>
                <w:iCs w:val="false"/>
                <w:color w:val="000000"/>
                <w:sz w:val="20"/>
                <w:szCs w:val="20"/>
              </w:rPr>
              <w:t xml:space="preserve">Layer</w:t>
            </w:r>
          </w:p>
        </w:tc>
        <w:tc>
          <w:tcPr>
            <w:tcW w:type="dxa" w:w="3802"/>
            <w:tcBorders>
              <w:top w:val="single" w:color="000000" w:sz="4"/>
              <w:left w:val="single" w:color="000000" w:sz="4"/>
              <w:bottom w:val="single" w:color="000000" w:sz="4"/>
              <w:right w:val="single" w:color="000000" w:sz="4"/>
            </w:tcBorders>
            <w:shd w:fill="D9D9D9" w:color="auto" w:val="clear"/>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bCs/>
                <w:i w:val="false"/>
                <w:iCs w:val="false"/>
                <w:color w:val="000000"/>
                <w:sz w:val="20"/>
                <w:szCs w:val="20"/>
              </w:rPr>
              <w:t xml:space="preserve">Control</w:t>
            </w:r>
          </w:p>
        </w:tc>
        <w:tc>
          <w:tcPr>
            <w:tcW w:type="dxa" w:w="3422"/>
            <w:tcBorders>
              <w:top w:val="single" w:color="000000" w:sz="4"/>
              <w:left w:val="single" w:color="000000" w:sz="4"/>
              <w:bottom w:val="single" w:color="000000" w:sz="4"/>
              <w:right w:val="single" w:color="000000" w:sz="4"/>
            </w:tcBorders>
            <w:shd w:fill="D9D9D9" w:color="auto" w:val="clear"/>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bCs/>
                <w:i w:val="false"/>
                <w:iCs w:val="false"/>
                <w:color w:val="000000"/>
                <w:sz w:val="20"/>
                <w:szCs w:val="20"/>
              </w:rPr>
              <w:t xml:space="preserve">Assessment</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1</w:t>
            </w:r>
          </w:p>
        </w:tc>
        <w:tc>
          <w:tcPr>
            <w:tcW w:type="dxa" w:w="1901"/>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Identity provider</w:t>
            </w:r>
          </w:p>
        </w:tc>
        <w:tc>
          <w:tcPr>
            <w:tcW w:type="dxa" w:w="3802"/>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Only the officer role carries the clinical role</w:t>
            </w:r>
          </w:p>
        </w:tc>
        <w:tc>
          <w:tcPr>
            <w:tcW w:type="dxa" w:w="3422"/>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Effective</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2</w:t>
            </w:r>
          </w:p>
        </w:tc>
        <w:tc>
          <w:tcPr>
            <w:tcW w:type="dxa" w:w="1901"/>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Route table</w:t>
            </w:r>
          </w:p>
        </w:tc>
        <w:tc>
          <w:tcPr>
            <w:tcW w:type="dxa" w:w="3802"/>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Clinical routes are not offered to any other role</w:t>
            </w:r>
          </w:p>
        </w:tc>
        <w:tc>
          <w:tcPr>
            <w:tcW w:type="dxa" w:w="3422"/>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Effective, and a courtesy rather than a control</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3</w:t>
            </w:r>
          </w:p>
        </w:tc>
        <w:tc>
          <w:tcPr>
            <w:tcW w:type="dxa" w:w="1901"/>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Service</w:t>
            </w:r>
          </w:p>
        </w:tc>
        <w:tc>
          <w:tcPr>
            <w:tcW w:type="dxa" w:w="3802"/>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Role checked in the handler and again in the service layer</w:t>
            </w:r>
          </w:p>
        </w:tc>
        <w:tc>
          <w:tcPr>
            <w:tcW w:type="dxa" w:w="3422"/>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Effective and proved by automated test</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4</w:t>
            </w:r>
          </w:p>
        </w:tc>
        <w:tc>
          <w:tcPr>
            <w:tcW w:type="dxa" w:w="1901"/>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Deployment</w:t>
            </w:r>
          </w:p>
        </w:tc>
        <w:tc>
          <w:tcPr>
            <w:tcW w:type="dxa" w:w="3802"/>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Only the clinical service holds a credential for the clinical database</w:t>
            </w:r>
          </w:p>
        </w:tc>
        <w:tc>
          <w:tcPr>
            <w:tcW w:type="dxa" w:w="3422"/>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Effective. Strengthened further by network policy in the cluster manifests</w:t>
            </w:r>
          </w:p>
        </w:tc>
      </w:tr>
    </w:tbl>
    <w:p>
      <w:pPr>
        <w:spacing w:after="160" w:line="276" w:lineRule="auto"/>
        <w:ind w:left="0" w:right="0" w:firstLine="0"/>
        <w:jc w:val="both"/>
      </w:pPr>
      <w:r>
        <w:rPr>
          <w:rFonts w:ascii="Times New Roman" w:cs="Times New Roman" w:eastAsia="Times New Roman" w:hAnsi="Times New Roman"/>
          <w:b w:val="false"/>
          <w:bCs w:val="false"/>
          <w:i w:val="false"/>
          <w:iCs w:val="false"/>
          <w:color w:val="000000"/>
          <w:sz w:val="24"/>
          <w:szCs w:val="24"/>
        </w:rPr>
        <w:t xml:space="preserve">An automated suite asserts every clinical route against every role that is not the officer, and walks the route tree so that a route added without being covered fails the build. The suite runs against an unusable data layer, so a handler that reached data before checking the role would fail rather than pass. This is a genuine control and not a formality.</w:t>
      </w:r>
    </w:p>
    <w:p>
      <w:pPr>
        <w:pStyle w:val="Heading2"/>
        <w:numPr>
          <w:ilvl w:val="1"/>
          <w:numId w:val="2"/>
        </w:numPr>
        <w:spacing w:after="150" w:before="270"/>
        <w:ind w:left="0" w:right="0" w:firstLine="0"/>
        <w:jc w:val="left"/>
      </w:pPr>
      <w:bookmarkStart w:name="h_10" w:id="1"/>
      <w:r>
        <w:rPr>
          <w:rFonts w:ascii="Times New Roman" w:cs="Times New Roman" w:eastAsia="Times New Roman" w:hAnsi="Times New Roman"/>
          <w:b/>
          <w:bCs/>
          <w:i w:val="false"/>
          <w:iCs w:val="false"/>
          <w:color w:val="000000"/>
          <w:sz w:val="24"/>
          <w:szCs w:val="24"/>
        </w:rPr>
        <w:t xml:space="preserve">Access logging</w:t>
      </w:r>
      <w:bookmarkEnd w:id="1"/>
    </w:p>
    <w:p>
      <w:pPr>
        <w:spacing w:after="160" w:line="276" w:lineRule="auto"/>
        <w:ind w:left="0" w:right="0" w:firstLine="0"/>
        <w:jc w:val="both"/>
      </w:pPr>
      <w:r>
        <w:rPr>
          <w:rFonts w:ascii="Times New Roman" w:cs="Times New Roman" w:eastAsia="Times New Roman" w:hAnsi="Times New Roman"/>
          <w:b w:val="false"/>
          <w:bCs w:val="false"/>
          <w:i w:val="false"/>
          <w:iCs w:val="false"/>
          <w:color w:val="000000"/>
          <w:sz w:val="24"/>
          <w:szCs w:val="24"/>
        </w:rPr>
        <w:t xml:space="preserve">Ordinary audit practice logs changes. Under the Act the risk to the person arises from unauthorised reading rather than unauthorised writing, so a log that captured only changes would provide no evidence about the harm most likely to occur.</w:t>
      </w:r>
    </w:p>
    <w:p>
      <w:pPr>
        <w:spacing w:after="160" w:line="276" w:lineRule="auto"/>
        <w:ind w:left="0" w:right="0" w:firstLine="0"/>
        <w:jc w:val="both"/>
      </w:pPr>
      <w:r>
        <w:rPr>
          <w:rFonts w:ascii="Times New Roman" w:cs="Times New Roman" w:eastAsia="Times New Roman" w:hAnsi="Times New Roman"/>
          <w:b w:val="false"/>
          <w:bCs w:val="false"/>
          <w:i w:val="false"/>
          <w:iCs w:val="false"/>
          <w:color w:val="000000"/>
          <w:sz w:val="24"/>
          <w:szCs w:val="24"/>
        </w:rPr>
        <w:t xml:space="preserve">Every retrieval of an individual clinical record is written to clinical_access_log before the record is returned. The ordering is deliberate. A log written after the response is a log that is missing precisely when a process fails during the request, which is when somebody will ask what was read. If the log cannot be written the read does not happen.</w:t>
      </w:r>
    </w:p>
    <w:p>
      <w:pPr>
        <w:spacing w:after="160" w:line="276" w:lineRule="auto"/>
        <w:ind w:left="0" w:right="0" w:firstLine="0"/>
        <w:jc w:val="both"/>
      </w:pPr>
      <w:r>
        <w:rPr>
          <w:rFonts w:ascii="Times New Roman" w:cs="Times New Roman" w:eastAsia="Times New Roman" w:hAnsi="Times New Roman"/>
          <w:b w:val="false"/>
          <w:bCs w:val="false"/>
          <w:i w:val="false"/>
          <w:iCs w:val="false"/>
          <w:color w:val="000000"/>
          <w:sz w:val="24"/>
          <w:szCs w:val="24"/>
        </w:rPr>
        <w:t xml:space="preserve">Searching the registry is logged as a retrieval, with the number of records returned, because a search by name reveals who attends the clinic just as surely as opening one record does.</w:t>
      </w:r>
    </w:p>
    <w:p>
      <w:pPr>
        <w:spacing w:after="160" w:line="276" w:lineRule="auto"/>
        <w:ind w:left="0" w:right="0" w:firstLine="0"/>
        <w:jc w:val="both"/>
      </w:pPr>
      <w:r>
        <w:rPr>
          <w:rFonts w:ascii="Times New Roman" w:cs="Times New Roman" w:eastAsia="Times New Roman" w:hAnsi="Times New Roman"/>
          <w:b w:val="false"/>
          <w:bCs w:val="false"/>
          <w:i w:val="false"/>
          <w:iCs w:val="false"/>
          <w:color w:val="000000"/>
          <w:sz w:val="24"/>
          <w:szCs w:val="24"/>
        </w:rPr>
        <w:t xml:space="preserve">The table is not append-only against the database role used by the clinical service. The application code defines no update or delete path for it, but the migration contains no GRANT or REVOKE statement preventing that same role from altering or deleting rows. The log also remains inside the clinical database and there is no separate hwms-audit deployable. The fail-before-return behaviour is effective, while stored-log tamper resistance is not implemented.</w:t>
      </w:r>
    </w:p>
    <w:p>
      <w:pPr>
        <w:pStyle w:val="Heading2"/>
        <w:numPr>
          <w:ilvl w:val="1"/>
          <w:numId w:val="2"/>
        </w:numPr>
        <w:spacing w:after="150" w:before="270"/>
        <w:ind w:left="0" w:right="0" w:firstLine="0"/>
        <w:jc w:val="left"/>
      </w:pPr>
      <w:bookmarkStart w:name="h_11" w:id="1"/>
      <w:r>
        <w:rPr>
          <w:rFonts w:ascii="Times New Roman" w:cs="Times New Roman" w:eastAsia="Times New Roman" w:hAnsi="Times New Roman"/>
          <w:b/>
          <w:bCs/>
          <w:i w:val="false"/>
          <w:iCs w:val="false"/>
          <w:color w:val="000000"/>
          <w:sz w:val="24"/>
          <w:szCs w:val="24"/>
        </w:rPr>
        <w:t xml:space="preserve">Telemetry minimisation</w:t>
      </w:r>
      <w:bookmarkEnd w:id="1"/>
    </w:p>
    <w:p>
      <w:pPr>
        <w:spacing w:after="160" w:line="276" w:lineRule="auto"/>
        <w:ind w:left="0" w:right="0" w:firstLine="0"/>
        <w:jc w:val="both"/>
      </w:pPr>
      <w:r>
        <w:rPr>
          <w:rFonts w:ascii="Times New Roman" w:cs="Times New Roman" w:eastAsia="Times New Roman" w:hAnsi="Times New Roman"/>
          <w:b w:val="false"/>
          <w:bCs w:val="false"/>
          <w:i w:val="false"/>
          <w:iCs w:val="false"/>
          <w:color w:val="000000"/>
          <w:sz w:val="24"/>
          <w:szCs w:val="24"/>
        </w:rPr>
        <w:t xml:space="preserve">Ordinary request logs record the chi route template rather than the concrete request path. Panic recovery applies the same rule. A request to /api/clinical/referrals/{id} is therefore logged as that template, not as an address containing a referral identifier. This prevents patient, visit and referral identifiers from entering ordinary service logs, where clinical access controls and retention do not apply. Query strings and request bodies are not logged.</w:t>
      </w:r>
    </w:p>
    <w:p>
      <w:pPr>
        <w:pStyle w:val="Heading2"/>
        <w:numPr>
          <w:ilvl w:val="1"/>
          <w:numId w:val="2"/>
        </w:numPr>
        <w:spacing w:after="150" w:before="270"/>
        <w:ind w:left="0" w:right="0" w:firstLine="0"/>
        <w:jc w:val="left"/>
      </w:pPr>
      <w:bookmarkStart w:name="h_12" w:id="1"/>
      <w:r>
        <w:rPr>
          <w:rFonts w:ascii="Times New Roman" w:cs="Times New Roman" w:eastAsia="Times New Roman" w:hAnsi="Times New Roman"/>
          <w:b/>
          <w:bCs/>
          <w:i w:val="false"/>
          <w:iCs w:val="false"/>
          <w:color w:val="000000"/>
          <w:sz w:val="24"/>
          <w:szCs w:val="24"/>
        </w:rPr>
        <w:t xml:space="preserve">Referral integrity at creation</w:t>
      </w:r>
      <w:bookmarkEnd w:id="1"/>
    </w:p>
    <w:p>
      <w:pPr>
        <w:spacing w:after="160" w:line="276" w:lineRule="auto"/>
        <w:ind w:left="0" w:right="0" w:firstLine="0"/>
        <w:jc w:val="both"/>
      </w:pPr>
      <w:r>
        <w:rPr>
          <w:rFonts w:ascii="Times New Roman" w:cs="Times New Roman" w:eastAsia="Times New Roman" w:hAnsi="Times New Roman"/>
          <w:b w:val="false"/>
          <w:bCs w:val="false"/>
          <w:i w:val="false"/>
          <w:iCs w:val="false"/>
          <w:color w:val="000000"/>
          <w:sz w:val="24"/>
          <w:szCs w:val="24"/>
        </w:rPr>
        <w:t xml:space="preserve">Referral creation accepts patient and visit identifiers from the browser, then derives the patient identity and visit vital signs server side. A database join requires the visit to belong to that patient before the referral is inserted. This protects against a stale browser tab pairing one person's identity with another person's attendance, which would otherwise create a clinically wrong external document without requiring a malicious caller.</w:t>
      </w:r>
    </w:p>
    <w:p>
      <w:pPr>
        <w:pStyle w:val="Heading2"/>
        <w:numPr>
          <w:ilvl w:val="1"/>
          <w:numId w:val="2"/>
        </w:numPr>
        <w:spacing w:after="150" w:before="270"/>
        <w:ind w:left="0" w:right="0" w:firstLine="0"/>
        <w:jc w:val="left"/>
      </w:pPr>
      <w:bookmarkStart w:name="h_13" w:id="1"/>
      <w:r>
        <w:rPr>
          <w:rFonts w:ascii="Times New Roman" w:cs="Times New Roman" w:eastAsia="Times New Roman" w:hAnsi="Times New Roman"/>
          <w:b/>
          <w:bCs/>
          <w:i w:val="false"/>
          <w:iCs w:val="false"/>
          <w:color w:val="000000"/>
          <w:sz w:val="24"/>
          <w:szCs w:val="24"/>
        </w:rPr>
        <w:t xml:space="preserve">Clinical to metrics boundary</w:t>
      </w:r>
      <w:bookmarkEnd w:id="1"/>
    </w:p>
    <w:p>
      <w:pPr>
        <w:spacing w:after="160" w:line="276" w:lineRule="auto"/>
        <w:ind w:left="0" w:right="0" w:firstLine="0"/>
        <w:jc w:val="both"/>
      </w:pPr>
      <w:r>
        <w:rPr>
          <w:rFonts w:ascii="Times New Roman" w:cs="Times New Roman" w:eastAsia="Times New Roman" w:hAnsi="Times New Roman"/>
          <w:b w:val="false"/>
          <w:bCs w:val="false"/>
          <w:i w:val="false"/>
          <w:iCs w:val="false"/>
          <w:color w:val="000000"/>
          <w:sz w:val="24"/>
          <w:szCs w:val="24"/>
        </w:rPr>
        <w:t xml:space="preserve">Recommended sick leave crosses from clinical to metrics as four non-clinical fields: referral identifier, feedback version, reporting month and days. It carries no patient identifier, name, diagnosis, treatment or free text. Metrics has no clinical database credential, which makes the data separation structural rather than dependent on a reporting query being written carefully.</w:t>
      </w:r>
    </w:p>
    <w:p>
      <w:pPr>
        <w:spacing w:after="160" w:line="276" w:lineRule="auto"/>
        <w:ind w:left="0" w:right="0" w:firstLine="0"/>
        <w:jc w:val="both"/>
      </w:pPr>
      <w:r>
        <w:rPr>
          <w:rFonts w:ascii="Times New Roman" w:cs="Times New Roman" w:eastAsia="Times New Roman" w:hAnsi="Times New Roman"/>
          <w:b w:val="false"/>
          <w:bCs w:val="false"/>
          <w:i w:val="false"/>
          <w:iCs w:val="false"/>
          <w:color w:val="000000"/>
          <w:sz w:val="24"/>
          <w:szCs w:val="24"/>
        </w:rPr>
        <w:t xml:space="preserve">A contract test in clinical inspects the outbox column set, and a mirror test in metrics inspects the receiving table. Either test fails the ordinary build if its schema is widened. The transport is an internal HTTP route authenticated by a shared secret, not a scoped OIDC service account. The schema boundary is effective, while caller authentication remains a production weakness at SEC-06 and DEC-034.</w:t>
      </w:r>
    </w:p>
    <w:p>
      <w:pPr>
        <w:pStyle w:val="Heading1"/>
        <w:numPr>
          <w:ilvl w:val="0"/>
          <w:numId w:val="2"/>
        </w:numPr>
        <w:spacing w:after="170" w:before="300"/>
        <w:ind w:left="0" w:right="0" w:firstLine="0"/>
        <w:jc w:val="left"/>
      </w:pPr>
      <w:bookmarkStart w:name="h_14" w:id="1"/>
      <w:r>
        <w:rPr>
          <w:rFonts w:ascii="Times New Roman" w:cs="Times New Roman" w:eastAsia="Times New Roman" w:hAnsi="Times New Roman"/>
          <w:b/>
          <w:bCs/>
          <w:i w:val="false"/>
          <w:iCs w:val="false"/>
          <w:color w:val="000000"/>
          <w:sz w:val="24"/>
          <w:szCs w:val="24"/>
        </w:rPr>
        <w:t xml:space="preserve">Findings</w:t>
      </w:r>
      <w:bookmarkEnd w:id="1"/>
    </w:p>
    <w:p>
      <w:pPr>
        <w:spacing w:after="160" w:line="276" w:lineRule="auto"/>
        <w:ind w:left="0" w:right="0" w:firstLine="0"/>
        <w:jc w:val="both"/>
      </w:pPr>
      <w:r>
        <w:rPr>
          <w:rFonts w:ascii="Times New Roman" w:cs="Times New Roman" w:eastAsia="Times New Roman" w:hAnsi="Times New Roman"/>
          <w:b w:val="false"/>
          <w:bCs w:val="false"/>
          <w:i w:val="false"/>
          <w:iCs w:val="false"/>
          <w:color w:val="000000"/>
          <w:sz w:val="24"/>
          <w:szCs w:val="24"/>
        </w:rPr>
        <w:t xml:space="preserve">Sixteen findings were raised. None is assessed as critical. Six are high, six are medium, two are low and two are observations. Each is stated with what was observed, why it matters operationally, and the specific change that closes it.</w:t>
      </w:r>
    </w:p>
    <w:p>
      <w:pPr>
        <w:pStyle w:val="Heading2"/>
        <w:numPr>
          <w:ilvl w:val="1"/>
          <w:numId w:val="2"/>
        </w:numPr>
        <w:spacing w:after="150" w:before="270"/>
        <w:ind w:left="0" w:right="0" w:firstLine="0"/>
        <w:jc w:val="left"/>
      </w:pPr>
      <w:bookmarkStart w:name="h_15" w:id="1"/>
      <w:r>
        <w:rPr>
          <w:rFonts w:ascii="Times New Roman" w:cs="Times New Roman" w:eastAsia="Times New Roman" w:hAnsi="Times New Roman"/>
          <w:b/>
          <w:bCs/>
          <w:i w:val="false"/>
          <w:iCs w:val="false"/>
          <w:color w:val="000000"/>
          <w:sz w:val="24"/>
          <w:szCs w:val="24"/>
        </w:rPr>
        <w:t xml:space="preserve">High findings</w:t>
      </w:r>
      <w:bookmarkEnd w:id="1"/>
    </w:p>
    <w:p>
      <w:pPr>
        <w:pStyle w:val="TableCaption"/>
        <w:spacing w:after="120" w:before="120"/>
        <w:ind w:left="0" w:right="0" w:firstLine="0"/>
        <w:jc w:val="left"/>
      </w:pPr>
      <w:bookmarkStart w:name="tbl_3_1" w:id="1"/>
      <w:r>
        <w:rPr>
          <w:rFonts w:ascii="Times New Roman" w:cs="Times New Roman" w:eastAsia="Times New Roman" w:hAnsi="Times New Roman"/>
          <w:b w:val="false"/>
          <w:bCs w:val="false"/>
          <w:i/>
          <w:iCs/>
          <w:color w:val="000000"/>
          <w:sz w:val="18"/>
          <w:szCs w:val="18"/>
        </w:rPr>
        <w:t xml:space="preserve">Table 3.1</w:t>
      </w:r>
      <w:bookmarkEnd w:id="1"/>
      <w:r>
        <w:rPr>
          <w:rFonts w:ascii="Times New Roman" w:cs="Times New Roman" w:eastAsia="Times New Roman" w:hAnsi="Times New Roman"/>
          <w:b w:val="false"/>
          <w:bCs w:val="false"/>
          <w:i/>
          <w:iCs/>
          <w:color w:val="000000"/>
          <w:sz w:val="18"/>
          <w:szCs w:val="18"/>
        </w:rPr>
        <w:t xml:space="preserve">: High severity findings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620"/>
        <w:gridCol w:w="1223"/>
        <w:gridCol w:w="2634"/>
        <w:gridCol w:w="2540"/>
        <w:gridCol w:w="2728"/>
      </w:tblGrid>
      <w:tr>
        <w:trPr>
          <w:tblHeader/>
        </w:trPr>
        <w:tc>
          <w:tcPr>
            <w:tcW w:type="dxa" w:w="620"/>
            <w:tcBorders>
              <w:top w:val="single" w:color="000000" w:sz="4"/>
              <w:left w:val="single" w:color="000000" w:sz="4"/>
              <w:bottom w:val="single" w:color="000000" w:sz="4"/>
              <w:right w:val="single" w:color="000000" w:sz="4"/>
            </w:tcBorders>
            <w:shd w:fill="D9D9D9" w:color="auto" w:val="clear"/>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bCs/>
                <w:i w:val="false"/>
                <w:iCs w:val="false"/>
                <w:color w:val="000000"/>
                <w:sz w:val="20"/>
                <w:szCs w:val="20"/>
              </w:rPr>
              <w:t xml:space="preserve">S/N</w:t>
            </w:r>
          </w:p>
        </w:tc>
        <w:tc>
          <w:tcPr>
            <w:tcW w:type="dxa" w:w="1223"/>
            <w:tcBorders>
              <w:top w:val="single" w:color="000000" w:sz="4"/>
              <w:left w:val="single" w:color="000000" w:sz="4"/>
              <w:bottom w:val="single" w:color="000000" w:sz="4"/>
              <w:right w:val="single" w:color="000000" w:sz="4"/>
            </w:tcBorders>
            <w:shd w:fill="D9D9D9" w:color="auto" w:val="clear"/>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bCs/>
                <w:i w:val="false"/>
                <w:iCs w:val="false"/>
                <w:color w:val="000000"/>
                <w:sz w:val="20"/>
                <w:szCs w:val="20"/>
              </w:rPr>
              <w:t xml:space="preserve">Reference</w:t>
            </w:r>
          </w:p>
        </w:tc>
        <w:tc>
          <w:tcPr>
            <w:tcW w:type="dxa" w:w="2634"/>
            <w:tcBorders>
              <w:top w:val="single" w:color="000000" w:sz="4"/>
              <w:left w:val="single" w:color="000000" w:sz="4"/>
              <w:bottom w:val="single" w:color="000000" w:sz="4"/>
              <w:right w:val="single" w:color="000000" w:sz="4"/>
            </w:tcBorders>
            <w:shd w:fill="D9D9D9" w:color="auto" w:val="clear"/>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bCs/>
                <w:i w:val="false"/>
                <w:iCs w:val="false"/>
                <w:color w:val="000000"/>
                <w:sz w:val="20"/>
                <w:szCs w:val="20"/>
              </w:rPr>
              <w:t xml:space="preserve">Finding</w:t>
            </w:r>
          </w:p>
        </w:tc>
        <w:tc>
          <w:tcPr>
            <w:tcW w:type="dxa" w:w="2540"/>
            <w:tcBorders>
              <w:top w:val="single" w:color="000000" w:sz="4"/>
              <w:left w:val="single" w:color="000000" w:sz="4"/>
              <w:bottom w:val="single" w:color="000000" w:sz="4"/>
              <w:right w:val="single" w:color="000000" w:sz="4"/>
            </w:tcBorders>
            <w:shd w:fill="D9D9D9" w:color="auto" w:val="clear"/>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bCs/>
                <w:i w:val="false"/>
                <w:iCs w:val="false"/>
                <w:color w:val="000000"/>
                <w:sz w:val="20"/>
                <w:szCs w:val="20"/>
              </w:rPr>
              <w:t xml:space="preserve">Impact</w:t>
            </w:r>
          </w:p>
        </w:tc>
        <w:tc>
          <w:tcPr>
            <w:tcW w:type="dxa" w:w="2728"/>
            <w:tcBorders>
              <w:top w:val="single" w:color="000000" w:sz="4"/>
              <w:left w:val="single" w:color="000000" w:sz="4"/>
              <w:bottom w:val="single" w:color="000000" w:sz="4"/>
              <w:right w:val="single" w:color="000000" w:sz="4"/>
            </w:tcBorders>
            <w:shd w:fill="D9D9D9" w:color="auto" w:val="clear"/>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bCs/>
                <w:i w:val="false"/>
                <w:iCs w:val="false"/>
                <w:color w:val="000000"/>
                <w:sz w:val="20"/>
                <w:szCs w:val="20"/>
              </w:rPr>
              <w:t xml:space="preserve">Remediation</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1</w:t>
            </w:r>
          </w:p>
        </w:tc>
        <w:tc>
          <w:tcPr>
            <w:tcW w:type="dxa" w:w="1223"/>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SEC-01</w:t>
            </w:r>
          </w:p>
        </w:tc>
        <w:tc>
          <w:tcPr>
            <w:tcW w:type="dxa" w:w="2634"/>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The Compose environment serves plain HTTP. The k3s ingress proposes TLS, but no provisioned environment or certificate was available to verify</w:t>
            </w:r>
          </w:p>
        </w:tc>
        <w:tc>
          <w:tcPr>
            <w:tcW w:type="dxa" w:w="254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A Compose deployment beyond a laptop would carry credentials and clinical data in clear text, and its session cookie is not secure</w:t>
            </w:r>
          </w:p>
        </w:tc>
        <w:tc>
          <w:tcPr>
            <w:tcW w:type="dxa" w:w="2728"/>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Terminate encryption at the UAT ingress, set the secure cookie flag and evidence the certificate before network testing</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2</w:t>
            </w:r>
          </w:p>
        </w:tc>
        <w:tc>
          <w:tcPr>
            <w:tcW w:type="dxa" w:w="1223"/>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SEC-02</w:t>
            </w:r>
          </w:p>
        </w:tc>
        <w:tc>
          <w:tcPr>
            <w:tcW w:type="dxa" w:w="2634"/>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Development credentials are held in the repository, including identity provider client secrets</w:t>
            </w:r>
          </w:p>
        </w:tc>
        <w:tc>
          <w:tcPr>
            <w:tcW w:type="dxa" w:w="254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Anyone with repository access holds the credentials of any environment that used them unchanged</w:t>
            </w:r>
          </w:p>
        </w:tc>
        <w:tc>
          <w:tcPr>
            <w:tcW w:type="dxa" w:w="2728"/>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Generate fresh values from a KMC controlled source. Never deploy the repository defaults</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3</w:t>
            </w:r>
          </w:p>
        </w:tc>
        <w:tc>
          <w:tcPr>
            <w:tcW w:type="dxa" w:w="1223"/>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SEC-03</w:t>
            </w:r>
          </w:p>
        </w:tc>
        <w:tc>
          <w:tcPr>
            <w:tcW w:type="dxa" w:w="2634"/>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Multi factor authentication is not enabled for the officer or the manager</w:t>
            </w:r>
          </w:p>
        </w:tc>
        <w:tc>
          <w:tcPr>
            <w:tcW w:type="dxa" w:w="254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A single stolen password grants either clinical access or the ability to create accounts</w:t>
            </w:r>
          </w:p>
        </w:tc>
        <w:tc>
          <w:tcPr>
            <w:tcW w:type="dxa" w:w="2728"/>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Enable a second factor in the identity provider for both roles. No application change required</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4</w:t>
            </w:r>
          </w:p>
        </w:tc>
        <w:tc>
          <w:tcPr>
            <w:tcW w:type="dxa" w:w="1223"/>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SEC-04</w:t>
            </w:r>
          </w:p>
        </w:tc>
        <w:tc>
          <w:tcPr>
            <w:tcW w:type="dxa" w:w="2634"/>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The clinical access log is written by the clinical service role, and no database grant prevents that role updating or deleting its rows. There is no hwms-audit deployable</w:t>
            </w:r>
          </w:p>
        </w:tc>
        <w:tc>
          <w:tcPr>
            <w:tcW w:type="dxa" w:w="254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The service that reads clinical data can also alter the evidence of those reads, so the log is not append-only against its own role</w:t>
            </w:r>
          </w:p>
        </w:tc>
        <w:tc>
          <w:tcPr>
            <w:tcW w:type="dxa" w:w="2728"/>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Create the separate audit boundary, grant the clinical service insert only, and ship or store the log where that service cannot alter it</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5</w:t>
            </w:r>
          </w:p>
        </w:tc>
        <w:tc>
          <w:tcPr>
            <w:tcW w:type="dxa" w:w="1223"/>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SEC-05</w:t>
            </w:r>
          </w:p>
        </w:tc>
        <w:tc>
          <w:tcPr>
            <w:tcW w:type="dxa" w:w="2634"/>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Downloading a patient history summary creates no distinct audit event. Browser generation reuses data from the earlier detail read, and access_route does not permit export</w:t>
            </w:r>
          </w:p>
        </w:tc>
        <w:tc>
          <w:tcPr>
            <w:tcW w:type="dxa" w:w="254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An ordinary view and creation of a portable clinical file are indistinguishable, so later disclosure cannot be reconstructed from the access record</w:t>
            </w:r>
          </w:p>
        </w:tc>
        <w:tc>
          <w:tcPr>
            <w:tcW w:type="dxa" w:w="2728"/>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Permit an export event, write it immediately before generation, and refuse the download if the audit write fails. Resolve DEC-037</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6</w:t>
            </w:r>
          </w:p>
        </w:tc>
        <w:tc>
          <w:tcPr>
            <w:tcW w:type="dxa" w:w="1223"/>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SEC-06</w:t>
            </w:r>
          </w:p>
        </w:tc>
        <w:tc>
          <w:tcPr>
            <w:tcW w:type="dxa" w:w="2634"/>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Clinical authenticates to the internal metrics ingest route with a shared bearer secret</w:t>
            </w:r>
          </w:p>
        </w:tc>
        <w:tc>
          <w:tcPr>
            <w:tcW w:type="dxa" w:w="254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The caller has no scoped service identity, and rotating or attributing one shared credential is weaker than the identity controls used elsewhere</w:t>
            </w:r>
          </w:p>
        </w:tc>
        <w:tc>
          <w:tcPr>
            <w:tcW w:type="dxa" w:w="2728"/>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Register a confidential Keycloak client with only the leave-ingest scope and validate its token at metrics before production</w:t>
            </w:r>
          </w:p>
        </w:tc>
      </w:tr>
    </w:tbl>
    <w:p>
      <w:pPr>
        <w:pStyle w:val="Heading2"/>
        <w:numPr>
          <w:ilvl w:val="1"/>
          <w:numId w:val="2"/>
        </w:numPr>
        <w:spacing w:after="150" w:before="270"/>
        <w:ind w:left="0" w:right="0" w:firstLine="0"/>
        <w:jc w:val="left"/>
      </w:pPr>
      <w:bookmarkStart w:name="h_16" w:id="1"/>
      <w:r>
        <w:rPr>
          <w:rFonts w:ascii="Times New Roman" w:cs="Times New Roman" w:eastAsia="Times New Roman" w:hAnsi="Times New Roman"/>
          <w:b/>
          <w:bCs/>
          <w:i w:val="false"/>
          <w:iCs w:val="false"/>
          <w:color w:val="000000"/>
          <w:sz w:val="24"/>
          <w:szCs w:val="24"/>
        </w:rPr>
        <w:t xml:space="preserve">Medium findings</w:t>
      </w:r>
      <w:bookmarkEnd w:id="1"/>
    </w:p>
    <w:p>
      <w:pPr>
        <w:pStyle w:val="TableCaption"/>
        <w:spacing w:after="120" w:before="120"/>
        <w:ind w:left="0" w:right="0" w:firstLine="0"/>
        <w:jc w:val="left"/>
      </w:pPr>
      <w:bookmarkStart w:name="tbl_3_2" w:id="1"/>
      <w:r>
        <w:rPr>
          <w:rFonts w:ascii="Times New Roman" w:cs="Times New Roman" w:eastAsia="Times New Roman" w:hAnsi="Times New Roman"/>
          <w:b w:val="false"/>
          <w:bCs w:val="false"/>
          <w:i/>
          <w:iCs/>
          <w:color w:val="000000"/>
          <w:sz w:val="18"/>
          <w:szCs w:val="18"/>
        </w:rPr>
        <w:t xml:space="preserve">Table 3.2</w:t>
      </w:r>
      <w:bookmarkEnd w:id="1"/>
      <w:r>
        <w:rPr>
          <w:rFonts w:ascii="Times New Roman" w:cs="Times New Roman" w:eastAsia="Times New Roman" w:hAnsi="Times New Roman"/>
          <w:b w:val="false"/>
          <w:bCs w:val="false"/>
          <w:i/>
          <w:iCs/>
          <w:color w:val="000000"/>
          <w:sz w:val="18"/>
          <w:szCs w:val="18"/>
        </w:rPr>
        <w:t xml:space="preserve">: Medium severity findings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620"/>
        <w:gridCol w:w="1223"/>
        <w:gridCol w:w="2634"/>
        <w:gridCol w:w="2540"/>
        <w:gridCol w:w="2728"/>
      </w:tblGrid>
      <w:tr>
        <w:trPr>
          <w:tblHeader/>
        </w:trPr>
        <w:tc>
          <w:tcPr>
            <w:tcW w:type="dxa" w:w="620"/>
            <w:tcBorders>
              <w:top w:val="single" w:color="000000" w:sz="4"/>
              <w:left w:val="single" w:color="000000" w:sz="4"/>
              <w:bottom w:val="single" w:color="000000" w:sz="4"/>
              <w:right w:val="single" w:color="000000" w:sz="4"/>
            </w:tcBorders>
            <w:shd w:fill="D9D9D9" w:color="auto" w:val="clear"/>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bCs/>
                <w:i w:val="false"/>
                <w:iCs w:val="false"/>
                <w:color w:val="000000"/>
                <w:sz w:val="20"/>
                <w:szCs w:val="20"/>
              </w:rPr>
              <w:t xml:space="preserve">S/N</w:t>
            </w:r>
          </w:p>
        </w:tc>
        <w:tc>
          <w:tcPr>
            <w:tcW w:type="dxa" w:w="1223"/>
            <w:tcBorders>
              <w:top w:val="single" w:color="000000" w:sz="4"/>
              <w:left w:val="single" w:color="000000" w:sz="4"/>
              <w:bottom w:val="single" w:color="000000" w:sz="4"/>
              <w:right w:val="single" w:color="000000" w:sz="4"/>
            </w:tcBorders>
            <w:shd w:fill="D9D9D9" w:color="auto" w:val="clear"/>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bCs/>
                <w:i w:val="false"/>
                <w:iCs w:val="false"/>
                <w:color w:val="000000"/>
                <w:sz w:val="20"/>
                <w:szCs w:val="20"/>
              </w:rPr>
              <w:t xml:space="preserve">Reference</w:t>
            </w:r>
          </w:p>
        </w:tc>
        <w:tc>
          <w:tcPr>
            <w:tcW w:type="dxa" w:w="2634"/>
            <w:tcBorders>
              <w:top w:val="single" w:color="000000" w:sz="4"/>
              <w:left w:val="single" w:color="000000" w:sz="4"/>
              <w:bottom w:val="single" w:color="000000" w:sz="4"/>
              <w:right w:val="single" w:color="000000" w:sz="4"/>
            </w:tcBorders>
            <w:shd w:fill="D9D9D9" w:color="auto" w:val="clear"/>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bCs/>
                <w:i w:val="false"/>
                <w:iCs w:val="false"/>
                <w:color w:val="000000"/>
                <w:sz w:val="20"/>
                <w:szCs w:val="20"/>
              </w:rPr>
              <w:t xml:space="preserve">Finding</w:t>
            </w:r>
          </w:p>
        </w:tc>
        <w:tc>
          <w:tcPr>
            <w:tcW w:type="dxa" w:w="2540"/>
            <w:tcBorders>
              <w:top w:val="single" w:color="000000" w:sz="4"/>
              <w:left w:val="single" w:color="000000" w:sz="4"/>
              <w:bottom w:val="single" w:color="000000" w:sz="4"/>
              <w:right w:val="single" w:color="000000" w:sz="4"/>
            </w:tcBorders>
            <w:shd w:fill="D9D9D9" w:color="auto" w:val="clear"/>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bCs/>
                <w:i w:val="false"/>
                <w:iCs w:val="false"/>
                <w:color w:val="000000"/>
                <w:sz w:val="20"/>
                <w:szCs w:val="20"/>
              </w:rPr>
              <w:t xml:space="preserve">Impact</w:t>
            </w:r>
          </w:p>
        </w:tc>
        <w:tc>
          <w:tcPr>
            <w:tcW w:type="dxa" w:w="2728"/>
            <w:tcBorders>
              <w:top w:val="single" w:color="000000" w:sz="4"/>
              <w:left w:val="single" w:color="000000" w:sz="4"/>
              <w:bottom w:val="single" w:color="000000" w:sz="4"/>
              <w:right w:val="single" w:color="000000" w:sz="4"/>
            </w:tcBorders>
            <w:shd w:fill="D9D9D9" w:color="auto" w:val="clear"/>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bCs/>
                <w:i w:val="false"/>
                <w:iCs w:val="false"/>
                <w:color w:val="000000"/>
                <w:sz w:val="20"/>
                <w:szCs w:val="20"/>
              </w:rPr>
              <w:t xml:space="preserve">Remediation</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1</w:t>
            </w:r>
          </w:p>
        </w:tc>
        <w:tc>
          <w:tcPr>
            <w:tcW w:type="dxa" w:w="1223"/>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SEC-07</w:t>
            </w:r>
          </w:p>
        </w:tc>
        <w:tc>
          <w:tcPr>
            <w:tcW w:type="dxa" w:w="2634"/>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Session state is held in the gateway process</w:t>
            </w:r>
          </w:p>
        </w:tc>
        <w:tc>
          <w:tcPr>
            <w:tcW w:type="dxa" w:w="254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A restart signs everybody out. The gateway cannot be scaled, so it is a single point of failure</w:t>
            </w:r>
          </w:p>
        </w:tc>
        <w:tc>
          <w:tcPr>
            <w:tcW w:type="dxa" w:w="2728"/>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Move the session store behind the existing interface to a shared store</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2</w:t>
            </w:r>
          </w:p>
        </w:tc>
        <w:tc>
          <w:tcPr>
            <w:tcW w:type="dxa" w:w="1223"/>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SEC-08</w:t>
            </w:r>
          </w:p>
        </w:tc>
        <w:tc>
          <w:tcPr>
            <w:tcW w:type="dxa" w:w="2634"/>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There is no rate limit on the sign-in path</w:t>
            </w:r>
          </w:p>
        </w:tc>
        <w:tc>
          <w:tcPr>
            <w:tcW w:type="dxa" w:w="254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Password guessing is slowed only by the identity provider lockout</w:t>
            </w:r>
          </w:p>
        </w:tc>
        <w:tc>
          <w:tcPr>
            <w:tcW w:type="dxa" w:w="2728"/>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Apply a rate limit at the ingress in addition to the lockout</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3</w:t>
            </w:r>
          </w:p>
        </w:tc>
        <w:tc>
          <w:tcPr>
            <w:tcW w:type="dxa" w:w="1223"/>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SEC-09</w:t>
            </w:r>
          </w:p>
        </w:tc>
        <w:tc>
          <w:tcPr>
            <w:tcW w:type="dxa" w:w="2634"/>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Logs and traces are not aggregated</w:t>
            </w:r>
          </w:p>
        </w:tc>
        <w:tc>
          <w:tcPr>
            <w:tcW w:type="dxa" w:w="254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Investigating an incident requires reading each service separately, and log retention is not assured</w:t>
            </w:r>
          </w:p>
        </w:tc>
        <w:tc>
          <w:tcPr>
            <w:tcW w:type="dxa" w:w="2728"/>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Add collection to storage held outside the services</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4</w:t>
            </w:r>
          </w:p>
        </w:tc>
        <w:tc>
          <w:tcPr>
            <w:tcW w:type="dxa" w:w="1223"/>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SEC-10</w:t>
            </w:r>
          </w:p>
        </w:tc>
        <w:tc>
          <w:tcPr>
            <w:tcW w:type="dxa" w:w="2634"/>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Amendment of a signed clinical record is not implemented</w:t>
            </w:r>
          </w:p>
        </w:tc>
        <w:tc>
          <w:tcPr>
            <w:tcW w:type="dxa" w:w="254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A correction cannot be made, so pressure will build to reopen a signed record, which would defeat the signature</w:t>
            </w:r>
          </w:p>
        </w:tc>
        <w:tc>
          <w:tcPr>
            <w:tcW w:type="dxa" w:w="2728"/>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Build the appended amendment before real records are entered</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5</w:t>
            </w:r>
          </w:p>
        </w:tc>
        <w:tc>
          <w:tcPr>
            <w:tcW w:type="dxa" w:w="1223"/>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SEC-11</w:t>
            </w:r>
          </w:p>
        </w:tc>
        <w:tc>
          <w:tcPr>
            <w:tcW w:type="dxa" w:w="2634"/>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No automated dependency or image vulnerability scanning is configured</w:t>
            </w:r>
          </w:p>
        </w:tc>
        <w:tc>
          <w:tcPr>
            <w:tcW w:type="dxa" w:w="254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A known vulnerability in a dependency would not be noticed</w:t>
            </w:r>
          </w:p>
        </w:tc>
        <w:tc>
          <w:tcPr>
            <w:tcW w:type="dxa" w:w="2728"/>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Add scanning to the build once a pipeline exists</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6</w:t>
            </w:r>
          </w:p>
        </w:tc>
        <w:tc>
          <w:tcPr>
            <w:tcW w:type="dxa" w:w="1223"/>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SEC-12</w:t>
            </w:r>
          </w:p>
        </w:tc>
        <w:tc>
          <w:tcPr>
            <w:tcW w:type="dxa" w:w="2634"/>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The k3s clinical database URL requires TLS, but the clinical PostgreSQL StatefulSet configures no server certificate</w:t>
            </w:r>
          </w:p>
        </w:tc>
        <w:tc>
          <w:tcPr>
            <w:tcW w:type="dxa" w:w="254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The clinical service would fail to connect as written. Weakening the URL to make it start would silently remove a required control</w:t>
            </w:r>
          </w:p>
        </w:tc>
        <w:tc>
          <w:tcPr>
            <w:tcW w:type="dxa" w:w="2728"/>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ICT supplies the server certificate and PostgreSQL TLS configuration, or approves a different connection policy in writing</w:t>
            </w:r>
          </w:p>
        </w:tc>
      </w:tr>
    </w:tbl>
    <w:p>
      <w:pPr>
        <w:pStyle w:val="Heading2"/>
        <w:numPr>
          <w:ilvl w:val="1"/>
          <w:numId w:val="2"/>
        </w:numPr>
        <w:spacing w:after="150" w:before="270"/>
        <w:ind w:left="0" w:right="0" w:firstLine="0"/>
        <w:jc w:val="left"/>
      </w:pPr>
      <w:bookmarkStart w:name="h_17" w:id="1"/>
      <w:r>
        <w:rPr>
          <w:rFonts w:ascii="Times New Roman" w:cs="Times New Roman" w:eastAsia="Times New Roman" w:hAnsi="Times New Roman"/>
          <w:b/>
          <w:bCs/>
          <w:i w:val="false"/>
          <w:iCs w:val="false"/>
          <w:color w:val="000000"/>
          <w:sz w:val="24"/>
          <w:szCs w:val="24"/>
        </w:rPr>
        <w:t xml:space="preserve">Low findings and observations</w:t>
      </w:r>
      <w:bookmarkEnd w:id="1"/>
    </w:p>
    <w:p>
      <w:pPr>
        <w:pStyle w:val="TableCaption"/>
        <w:spacing w:after="120" w:before="120"/>
        <w:ind w:left="0" w:right="0" w:firstLine="0"/>
        <w:jc w:val="left"/>
      </w:pPr>
      <w:bookmarkStart w:name="tbl_3_3" w:id="1"/>
      <w:r>
        <w:rPr>
          <w:rFonts w:ascii="Times New Roman" w:cs="Times New Roman" w:eastAsia="Times New Roman" w:hAnsi="Times New Roman"/>
          <w:b w:val="false"/>
          <w:bCs w:val="false"/>
          <w:i/>
          <w:iCs/>
          <w:color w:val="000000"/>
          <w:sz w:val="18"/>
          <w:szCs w:val="18"/>
        </w:rPr>
        <w:t xml:space="preserve">Table 3.3</w:t>
      </w:r>
      <w:bookmarkEnd w:id="1"/>
      <w:r>
        <w:rPr>
          <w:rFonts w:ascii="Times New Roman" w:cs="Times New Roman" w:eastAsia="Times New Roman" w:hAnsi="Times New Roman"/>
          <w:b w:val="false"/>
          <w:bCs w:val="false"/>
          <w:i/>
          <w:iCs/>
          <w:color w:val="000000"/>
          <w:sz w:val="18"/>
          <w:szCs w:val="18"/>
        </w:rPr>
        <w:t xml:space="preserve">: Low severity findings and observations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620"/>
        <w:gridCol w:w="1223"/>
        <w:gridCol w:w="1317"/>
        <w:gridCol w:w="3763"/>
        <w:gridCol w:w="2822"/>
      </w:tblGrid>
      <w:tr>
        <w:trPr>
          <w:tblHeader/>
        </w:trPr>
        <w:tc>
          <w:tcPr>
            <w:tcW w:type="dxa" w:w="620"/>
            <w:tcBorders>
              <w:top w:val="single" w:color="000000" w:sz="4"/>
              <w:left w:val="single" w:color="000000" w:sz="4"/>
              <w:bottom w:val="single" w:color="000000" w:sz="4"/>
              <w:right w:val="single" w:color="000000" w:sz="4"/>
            </w:tcBorders>
            <w:shd w:fill="D9D9D9" w:color="auto" w:val="clear"/>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bCs/>
                <w:i w:val="false"/>
                <w:iCs w:val="false"/>
                <w:color w:val="000000"/>
                <w:sz w:val="20"/>
                <w:szCs w:val="20"/>
              </w:rPr>
              <w:t xml:space="preserve">S/N</w:t>
            </w:r>
          </w:p>
        </w:tc>
        <w:tc>
          <w:tcPr>
            <w:tcW w:type="dxa" w:w="1223"/>
            <w:tcBorders>
              <w:top w:val="single" w:color="000000" w:sz="4"/>
              <w:left w:val="single" w:color="000000" w:sz="4"/>
              <w:bottom w:val="single" w:color="000000" w:sz="4"/>
              <w:right w:val="single" w:color="000000" w:sz="4"/>
            </w:tcBorders>
            <w:shd w:fill="D9D9D9" w:color="auto" w:val="clear"/>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bCs/>
                <w:i w:val="false"/>
                <w:iCs w:val="false"/>
                <w:color w:val="000000"/>
                <w:sz w:val="20"/>
                <w:szCs w:val="20"/>
              </w:rPr>
              <w:t xml:space="preserve">Reference</w:t>
            </w:r>
          </w:p>
        </w:tc>
        <w:tc>
          <w:tcPr>
            <w:tcW w:type="dxa" w:w="1317"/>
            <w:tcBorders>
              <w:top w:val="single" w:color="000000" w:sz="4"/>
              <w:left w:val="single" w:color="000000" w:sz="4"/>
              <w:bottom w:val="single" w:color="000000" w:sz="4"/>
              <w:right w:val="single" w:color="000000" w:sz="4"/>
            </w:tcBorders>
            <w:shd w:fill="D9D9D9" w:color="auto" w:val="clear"/>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bCs/>
                <w:i w:val="false"/>
                <w:iCs w:val="false"/>
                <w:color w:val="000000"/>
                <w:sz w:val="20"/>
                <w:szCs w:val="20"/>
              </w:rPr>
              <w:t xml:space="preserve">Severity</w:t>
            </w:r>
          </w:p>
        </w:tc>
        <w:tc>
          <w:tcPr>
            <w:tcW w:type="dxa" w:w="3763"/>
            <w:tcBorders>
              <w:top w:val="single" w:color="000000" w:sz="4"/>
              <w:left w:val="single" w:color="000000" w:sz="4"/>
              <w:bottom w:val="single" w:color="000000" w:sz="4"/>
              <w:right w:val="single" w:color="000000" w:sz="4"/>
            </w:tcBorders>
            <w:shd w:fill="D9D9D9" w:color="auto" w:val="clear"/>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bCs/>
                <w:i w:val="false"/>
                <w:iCs w:val="false"/>
                <w:color w:val="000000"/>
                <w:sz w:val="20"/>
                <w:szCs w:val="20"/>
              </w:rPr>
              <w:t xml:space="preserve">Finding</w:t>
            </w:r>
          </w:p>
        </w:tc>
        <w:tc>
          <w:tcPr>
            <w:tcW w:type="dxa" w:w="2822"/>
            <w:tcBorders>
              <w:top w:val="single" w:color="000000" w:sz="4"/>
              <w:left w:val="single" w:color="000000" w:sz="4"/>
              <w:bottom w:val="single" w:color="000000" w:sz="4"/>
              <w:right w:val="single" w:color="000000" w:sz="4"/>
            </w:tcBorders>
            <w:shd w:fill="D9D9D9" w:color="auto" w:val="clear"/>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bCs/>
                <w:i w:val="false"/>
                <w:iCs w:val="false"/>
                <w:color w:val="000000"/>
                <w:sz w:val="20"/>
                <w:szCs w:val="20"/>
              </w:rPr>
              <w:t xml:space="preserve">Remediation</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1</w:t>
            </w:r>
          </w:p>
        </w:tc>
        <w:tc>
          <w:tcPr>
            <w:tcW w:type="dxa" w:w="1223"/>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SEC-13</w:t>
            </w:r>
          </w:p>
        </w:tc>
        <w:tc>
          <w:tcPr>
            <w:tcW w:type="dxa" w:w="1317"/>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Low</w:t>
            </w:r>
          </w:p>
        </w:tc>
        <w:tc>
          <w:tcPr>
            <w:tcW w:type="dxa" w:w="3763"/>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The identity provider administrative console is exposed on the same host as the application</w:t>
            </w:r>
          </w:p>
        </w:tc>
        <w:tc>
          <w:tcPr>
            <w:tcW w:type="dxa" w:w="2822"/>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Restrict the console to an administrative network</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2</w:t>
            </w:r>
          </w:p>
        </w:tc>
        <w:tc>
          <w:tcPr>
            <w:tcW w:type="dxa" w:w="1223"/>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SEC-14</w:t>
            </w:r>
          </w:p>
        </w:tc>
        <w:tc>
          <w:tcPr>
            <w:tcW w:type="dxa" w:w="1317"/>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Low</w:t>
            </w:r>
          </w:p>
        </w:tc>
        <w:tc>
          <w:tcPr>
            <w:tcW w:type="dxa" w:w="3763"/>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Backups are not yet configured in any environment</w:t>
            </w:r>
          </w:p>
        </w:tc>
        <w:tc>
          <w:tcPr>
            <w:tcW w:type="dxa" w:w="2822"/>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Configure nightly encrypted backup, with the clinical backup under a separate key, before real records exist</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3</w:t>
            </w:r>
          </w:p>
        </w:tc>
        <w:tc>
          <w:tcPr>
            <w:tcW w:type="dxa" w:w="1223"/>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SEC-15</w:t>
            </w:r>
          </w:p>
        </w:tc>
        <w:tc>
          <w:tcPr>
            <w:tcW w:type="dxa" w:w="1317"/>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Observation</w:t>
            </w:r>
          </w:p>
        </w:tc>
        <w:tc>
          <w:tcPr>
            <w:tcW w:type="dxa" w:w="3763"/>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The interface hides controls a role may not use rather than disabling them</w:t>
            </w:r>
          </w:p>
        </w:tc>
        <w:tc>
          <w:tcPr>
            <w:tcW w:type="dxa" w:w="2822"/>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No action. This is deliberate, and is recorded so it is not mistaken for a missing server-side control</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4</w:t>
            </w:r>
          </w:p>
        </w:tc>
        <w:tc>
          <w:tcPr>
            <w:tcW w:type="dxa" w:w="1223"/>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SEC-16</w:t>
            </w:r>
          </w:p>
        </w:tc>
        <w:tc>
          <w:tcPr>
            <w:tcW w:type="dxa" w:w="1317"/>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Observation</w:t>
            </w:r>
          </w:p>
        </w:tc>
        <w:tc>
          <w:tcPr>
            <w:tcW w:type="dxa" w:w="3763"/>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DEC-024 remains open and no management role has any route to referral content, including the minimum-disclosure summary</w:t>
            </w:r>
          </w:p>
        </w:tc>
        <w:tc>
          <w:tcPr>
            <w:tcW w:type="dxa" w:w="2822"/>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Keep the officer-only posture until the accountable sponsor and Data Protection Officer decide the lawful management route</w:t>
            </w:r>
          </w:p>
        </w:tc>
      </w:tr>
    </w:tbl>
    <w:p>
      <w:pPr>
        <w:pStyle w:val="Heading2"/>
        <w:numPr>
          <w:ilvl w:val="1"/>
          <w:numId w:val="2"/>
        </w:numPr>
        <w:spacing w:after="150" w:before="270"/>
        <w:ind w:left="0" w:right="0" w:firstLine="0"/>
        <w:jc w:val="left"/>
      </w:pPr>
      <w:bookmarkStart w:name="h_18" w:id="1"/>
      <w:r>
        <w:rPr>
          <w:rFonts w:ascii="Times New Roman" w:cs="Times New Roman" w:eastAsia="Times New Roman" w:hAnsi="Times New Roman"/>
          <w:b/>
          <w:bCs/>
          <w:i w:val="false"/>
          <w:iCs w:val="false"/>
          <w:color w:val="000000"/>
          <w:sz w:val="24"/>
          <w:szCs w:val="24"/>
        </w:rPr>
        <w:t xml:space="preserve">Controls found to be effective</w:t>
      </w:r>
      <w:bookmarkEnd w:id="1"/>
    </w:p>
    <w:p>
      <w:pPr>
        <w:spacing w:after="160" w:line="276" w:lineRule="auto"/>
        <w:ind w:left="0" w:right="0" w:firstLine="0"/>
        <w:jc w:val="both"/>
      </w:pPr>
      <w:r>
        <w:rPr>
          <w:rFonts w:ascii="Times New Roman" w:cs="Times New Roman" w:eastAsia="Times New Roman" w:hAnsi="Times New Roman"/>
          <w:b w:val="false"/>
          <w:bCs w:val="false"/>
          <w:i w:val="false"/>
          <w:iCs w:val="false"/>
          <w:color w:val="000000"/>
          <w:sz w:val="24"/>
          <w:szCs w:val="24"/>
        </w:rPr>
        <w:t xml:space="preserve">The following were examined and assessed as effective. They are recorded because they are the parts of a security design that are difficult to retrofit, and because a review that lists only weaknesses gives a false impression of the whole.</w:t>
      </w:r>
    </w:p>
    <w:p>
      <w:pPr>
        <w:pStyle w:val="ListParagraph"/>
        <w:numPr>
          <w:ilvl w:val="0"/>
          <w:numId w:val="3"/>
        </w:numPr>
        <w:spacing w:after="100" w:line="276" w:lineRule="auto"/>
        <w:jc w:val="both"/>
      </w:pPr>
      <w:r>
        <w:rPr>
          <w:rFonts w:ascii="Times New Roman" w:cs="Times New Roman" w:eastAsia="Times New Roman" w:hAnsi="Times New Roman"/>
          <w:b w:val="false"/>
          <w:bCs w:val="false"/>
          <w:i w:val="false"/>
          <w:iCs w:val="false"/>
          <w:color w:val="000000"/>
          <w:sz w:val="24"/>
          <w:szCs w:val="24"/>
        </w:rPr>
        <w:t xml:space="preserve">Delegated authentication, so the application never handles a password.</w:t>
      </w:r>
    </w:p>
    <w:p>
      <w:pPr>
        <w:pStyle w:val="ListParagraph"/>
        <w:numPr>
          <w:ilvl w:val="0"/>
          <w:numId w:val="3"/>
        </w:numPr>
        <w:spacing w:after="100" w:line="276" w:lineRule="auto"/>
        <w:jc w:val="both"/>
      </w:pPr>
      <w:r>
        <w:rPr>
          <w:rFonts w:ascii="Times New Roman" w:cs="Times New Roman" w:eastAsia="Times New Roman" w:hAnsi="Times New Roman"/>
          <w:b w:val="false"/>
          <w:bCs w:val="false"/>
          <w:i w:val="false"/>
          <w:iCs w:val="false"/>
          <w:color w:val="000000"/>
          <w:sz w:val="24"/>
          <w:szCs w:val="24"/>
        </w:rPr>
        <w:t xml:space="preserve">Tokens held server side, with the browser holding an opaque identifier only.</w:t>
      </w:r>
    </w:p>
    <w:p>
      <w:pPr>
        <w:pStyle w:val="ListParagraph"/>
        <w:numPr>
          <w:ilvl w:val="0"/>
          <w:numId w:val="3"/>
        </w:numPr>
        <w:spacing w:after="100" w:line="276" w:lineRule="auto"/>
        <w:jc w:val="both"/>
      </w:pPr>
      <w:r>
        <w:rPr>
          <w:rFonts w:ascii="Times New Roman" w:cs="Times New Roman" w:eastAsia="Times New Roman" w:hAnsi="Times New Roman"/>
          <w:b w:val="false"/>
          <w:bCs w:val="false"/>
          <w:i w:val="false"/>
          <w:iCs w:val="false"/>
          <w:color w:val="000000"/>
          <w:sz w:val="24"/>
          <w:szCs w:val="24"/>
        </w:rPr>
        <w:t xml:space="preserve">Authorisation checked at two layers within each service, and proved by a suite that blocks the build.</w:t>
      </w:r>
    </w:p>
    <w:p>
      <w:pPr>
        <w:pStyle w:val="ListParagraph"/>
        <w:numPr>
          <w:ilvl w:val="0"/>
          <w:numId w:val="3"/>
        </w:numPr>
        <w:spacing w:after="100" w:line="276" w:lineRule="auto"/>
        <w:jc w:val="both"/>
      </w:pPr>
      <w:r>
        <w:rPr>
          <w:rFonts w:ascii="Times New Roman" w:cs="Times New Roman" w:eastAsia="Times New Roman" w:hAnsi="Times New Roman"/>
          <w:b w:val="false"/>
          <w:bCs w:val="false"/>
          <w:i w:val="false"/>
          <w:iCs w:val="false"/>
          <w:color w:val="000000"/>
          <w:sz w:val="24"/>
          <w:szCs w:val="24"/>
        </w:rPr>
        <w:t xml:space="preserve">The clinical database as a separate instance with credentials issued to one service alone.</w:t>
      </w:r>
    </w:p>
    <w:p>
      <w:pPr>
        <w:pStyle w:val="ListParagraph"/>
        <w:numPr>
          <w:ilvl w:val="0"/>
          <w:numId w:val="3"/>
        </w:numPr>
        <w:spacing w:after="100" w:line="276" w:lineRule="auto"/>
        <w:jc w:val="both"/>
      </w:pPr>
      <w:r>
        <w:rPr>
          <w:rFonts w:ascii="Times New Roman" w:cs="Times New Roman" w:eastAsia="Times New Roman" w:hAnsi="Times New Roman"/>
          <w:b w:val="false"/>
          <w:bCs w:val="false"/>
          <w:i w:val="false"/>
          <w:iCs w:val="false"/>
          <w:color w:val="000000"/>
          <w:sz w:val="24"/>
          <w:szCs w:val="24"/>
        </w:rPr>
        <w:t xml:space="preserve">Read access logging that fails the read rather than serving a record unlogged.</w:t>
      </w:r>
    </w:p>
    <w:p>
      <w:pPr>
        <w:pStyle w:val="ListParagraph"/>
        <w:numPr>
          <w:ilvl w:val="0"/>
          <w:numId w:val="3"/>
        </w:numPr>
        <w:spacing w:after="100" w:line="276" w:lineRule="auto"/>
        <w:jc w:val="both"/>
      </w:pPr>
      <w:r>
        <w:rPr>
          <w:rFonts w:ascii="Times New Roman" w:cs="Times New Roman" w:eastAsia="Times New Roman" w:hAnsi="Times New Roman"/>
          <w:b w:val="false"/>
          <w:bCs w:val="false"/>
          <w:i w:val="false"/>
          <w:iCs w:val="false"/>
          <w:color w:val="000000"/>
          <w:sz w:val="24"/>
          <w:szCs w:val="24"/>
        </w:rPr>
        <w:t xml:space="preserve">Request and panic logs that use route templates rather than concrete paths containing clinical identifiers.</w:t>
      </w:r>
    </w:p>
    <w:p>
      <w:pPr>
        <w:pStyle w:val="ListParagraph"/>
        <w:numPr>
          <w:ilvl w:val="0"/>
          <w:numId w:val="3"/>
        </w:numPr>
        <w:spacing w:after="100" w:line="276" w:lineRule="auto"/>
        <w:jc w:val="both"/>
      </w:pPr>
      <w:r>
        <w:rPr>
          <w:rFonts w:ascii="Times New Roman" w:cs="Times New Roman" w:eastAsia="Times New Roman" w:hAnsi="Times New Roman"/>
          <w:b w:val="false"/>
          <w:bCs w:val="false"/>
          <w:i w:val="false"/>
          <w:iCs w:val="false"/>
          <w:color w:val="000000"/>
          <w:sz w:val="24"/>
          <w:szCs w:val="24"/>
        </w:rPr>
        <w:t xml:space="preserve">Referral creation that derives identity and vital signs through a server-side join proving the visit belongs to the patient.</w:t>
      </w:r>
    </w:p>
    <w:p>
      <w:pPr>
        <w:pStyle w:val="ListParagraph"/>
        <w:numPr>
          <w:ilvl w:val="0"/>
          <w:numId w:val="3"/>
        </w:numPr>
        <w:spacing w:after="100" w:line="276" w:lineRule="auto"/>
        <w:jc w:val="both"/>
      </w:pPr>
      <w:r>
        <w:rPr>
          <w:rFonts w:ascii="Times New Roman" w:cs="Times New Roman" w:eastAsia="Times New Roman" w:hAnsi="Times New Roman"/>
          <w:b w:val="false"/>
          <w:bCs w:val="false"/>
          <w:i w:val="false"/>
          <w:iCs w:val="false"/>
          <w:color w:val="000000"/>
          <w:sz w:val="24"/>
          <w:szCs w:val="24"/>
        </w:rPr>
        <w:t xml:space="preserve">A four-field clinical to metrics schema boundary, with a contract test on each side and no clinical database credential held by metrics.</w:t>
      </w:r>
    </w:p>
    <w:p>
      <w:pPr>
        <w:pStyle w:val="ListParagraph"/>
        <w:numPr>
          <w:ilvl w:val="0"/>
          <w:numId w:val="3"/>
        </w:numPr>
        <w:spacing w:after="100" w:line="276" w:lineRule="auto"/>
        <w:jc w:val="both"/>
      </w:pPr>
      <w:r>
        <w:rPr>
          <w:rFonts w:ascii="Times New Roman" w:cs="Times New Roman" w:eastAsia="Times New Roman" w:hAnsi="Times New Roman"/>
          <w:b w:val="false"/>
          <w:bCs w:val="false"/>
          <w:i w:val="false"/>
          <w:iCs w:val="false"/>
          <w:color w:val="000000"/>
          <w:sz w:val="24"/>
          <w:szCs w:val="24"/>
        </w:rPr>
        <w:t xml:space="preserve">Account administration performed by the service through its own account rather than by replaying the user token.</w:t>
      </w:r>
    </w:p>
    <w:p>
      <w:pPr>
        <w:pStyle w:val="ListParagraph"/>
        <w:numPr>
          <w:ilvl w:val="0"/>
          <w:numId w:val="3"/>
        </w:numPr>
        <w:spacing w:after="100" w:line="276" w:lineRule="auto"/>
        <w:jc w:val="both"/>
      </w:pPr>
      <w:r>
        <w:rPr>
          <w:rFonts w:ascii="Times New Roman" w:cs="Times New Roman" w:eastAsia="Times New Roman" w:hAnsi="Times New Roman"/>
          <w:b w:val="false"/>
          <w:bCs w:val="false"/>
          <w:i w:val="false"/>
          <w:iCs w:val="false"/>
          <w:color w:val="000000"/>
          <w:sz w:val="24"/>
          <w:szCs w:val="24"/>
        </w:rPr>
        <w:t xml:space="preserve">Containers built from a minimal base, running as a non root user with a read only filesystem.</w:t>
      </w:r>
    </w:p>
    <w:p>
      <w:pPr>
        <w:pStyle w:val="ListParagraph"/>
        <w:numPr>
          <w:ilvl w:val="0"/>
          <w:numId w:val="3"/>
        </w:numPr>
        <w:spacing w:after="100" w:line="276" w:lineRule="auto"/>
        <w:jc w:val="both"/>
      </w:pPr>
      <w:r>
        <w:rPr>
          <w:rFonts w:ascii="Times New Roman" w:cs="Times New Roman" w:eastAsia="Times New Roman" w:hAnsi="Times New Roman"/>
          <w:b w:val="false"/>
          <w:bCs w:val="false"/>
          <w:i w:val="false"/>
          <w:iCs w:val="false"/>
          <w:color w:val="000000"/>
          <w:sz w:val="24"/>
          <w:szCs w:val="24"/>
        </w:rPr>
        <w:t xml:space="preserve">No clinical narrative in any ordinary log line, metric label or trace.</w:t>
      </w:r>
    </w:p>
    <w:p>
      <w:pPr>
        <w:pStyle w:val="Heading1"/>
        <w:numPr>
          <w:ilvl w:val="0"/>
          <w:numId w:val="2"/>
        </w:numPr>
        <w:spacing w:after="170" w:before="300"/>
        <w:ind w:left="0" w:right="0" w:firstLine="0"/>
        <w:jc w:val="left"/>
      </w:pPr>
      <w:bookmarkStart w:name="h_19" w:id="1"/>
      <w:r>
        <w:rPr>
          <w:rFonts w:ascii="Times New Roman" w:cs="Times New Roman" w:eastAsia="Times New Roman" w:hAnsi="Times New Roman"/>
          <w:b/>
          <w:bCs/>
          <w:i w:val="false"/>
          <w:iCs w:val="false"/>
          <w:color w:val="000000"/>
          <w:sz w:val="24"/>
          <w:szCs w:val="24"/>
        </w:rPr>
        <w:t xml:space="preserve">Data protection</w:t>
      </w:r>
      <w:bookmarkEnd w:id="1"/>
    </w:p>
    <w:p>
      <w:pPr>
        <w:pStyle w:val="Heading2"/>
        <w:numPr>
          <w:ilvl w:val="1"/>
          <w:numId w:val="2"/>
        </w:numPr>
        <w:spacing w:after="150" w:before="270"/>
        <w:ind w:left="0" w:right="0" w:firstLine="0"/>
        <w:jc w:val="left"/>
      </w:pPr>
      <w:bookmarkStart w:name="h_20" w:id="1"/>
      <w:r>
        <w:rPr>
          <w:rFonts w:ascii="Times New Roman" w:cs="Times New Roman" w:eastAsia="Times New Roman" w:hAnsi="Times New Roman"/>
          <w:b/>
          <w:bCs/>
          <w:i w:val="false"/>
          <w:iCs w:val="false"/>
          <w:color w:val="000000"/>
          <w:sz w:val="24"/>
          <w:szCs w:val="24"/>
        </w:rPr>
        <w:t xml:space="preserve">Obligations</w:t>
      </w:r>
      <w:bookmarkEnd w:id="1"/>
    </w:p>
    <w:p>
      <w:pPr>
        <w:spacing w:after="160" w:line="276" w:lineRule="auto"/>
        <w:ind w:left="0" w:right="0" w:firstLine="0"/>
        <w:jc w:val="both"/>
      </w:pPr>
      <w:r>
        <w:rPr>
          <w:rFonts w:ascii="Times New Roman" w:cs="Times New Roman" w:eastAsia="Times New Roman" w:hAnsi="Times New Roman"/>
          <w:b w:val="false"/>
          <w:bCs w:val="false"/>
          <w:i w:val="false"/>
          <w:iCs w:val="false"/>
          <w:color w:val="000000"/>
          <w:sz w:val="24"/>
          <w:szCs w:val="24"/>
        </w:rPr>
        <w:t xml:space="preserve">Data concerning health is special personal data under the Act. The obligations that bear most directly on this system are lawful basis, data minimisation, the ability to report who accessed a person record, retention limits, and the security of processing.</w:t>
      </w:r>
    </w:p>
    <w:p>
      <w:pPr>
        <w:pStyle w:val="TableCaption"/>
        <w:spacing w:after="120" w:before="120"/>
        <w:ind w:left="0" w:right="0" w:firstLine="0"/>
        <w:jc w:val="left"/>
      </w:pPr>
      <w:bookmarkStart w:name="tbl_4_1" w:id="1"/>
      <w:r>
        <w:rPr>
          <w:rFonts w:ascii="Times New Roman" w:cs="Times New Roman" w:eastAsia="Times New Roman" w:hAnsi="Times New Roman"/>
          <w:b w:val="false"/>
          <w:bCs w:val="false"/>
          <w:i/>
          <w:iCs/>
          <w:color w:val="000000"/>
          <w:sz w:val="18"/>
          <w:szCs w:val="18"/>
        </w:rPr>
        <w:t xml:space="preserve">Table 4.1</w:t>
      </w:r>
      <w:bookmarkEnd w:id="1"/>
      <w:r>
        <w:rPr>
          <w:rFonts w:ascii="Times New Roman" w:cs="Times New Roman" w:eastAsia="Times New Roman" w:hAnsi="Times New Roman"/>
          <w:b w:val="false"/>
          <w:bCs w:val="false"/>
          <w:i/>
          <w:iCs/>
          <w:color w:val="000000"/>
          <w:sz w:val="18"/>
          <w:szCs w:val="18"/>
        </w:rPr>
        <w:t xml:space="preserve">: Data protection obligations and position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620"/>
        <w:gridCol w:w="2471"/>
        <w:gridCol w:w="3232"/>
        <w:gridCol w:w="3422"/>
      </w:tblGrid>
      <w:tr>
        <w:trPr>
          <w:tblHeader/>
        </w:trPr>
        <w:tc>
          <w:tcPr>
            <w:tcW w:type="dxa" w:w="620"/>
            <w:tcBorders>
              <w:top w:val="single" w:color="000000" w:sz="4"/>
              <w:left w:val="single" w:color="000000" w:sz="4"/>
              <w:bottom w:val="single" w:color="000000" w:sz="4"/>
              <w:right w:val="single" w:color="000000" w:sz="4"/>
            </w:tcBorders>
            <w:shd w:fill="D9D9D9" w:color="auto" w:val="clear"/>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bCs/>
                <w:i w:val="false"/>
                <w:iCs w:val="false"/>
                <w:color w:val="000000"/>
                <w:sz w:val="20"/>
                <w:szCs w:val="20"/>
              </w:rPr>
              <w:t xml:space="preserve">S/N</w:t>
            </w:r>
          </w:p>
        </w:tc>
        <w:tc>
          <w:tcPr>
            <w:tcW w:type="dxa" w:w="2471"/>
            <w:tcBorders>
              <w:top w:val="single" w:color="000000" w:sz="4"/>
              <w:left w:val="single" w:color="000000" w:sz="4"/>
              <w:bottom w:val="single" w:color="000000" w:sz="4"/>
              <w:right w:val="single" w:color="000000" w:sz="4"/>
            </w:tcBorders>
            <w:shd w:fill="D9D9D9" w:color="auto" w:val="clear"/>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bCs/>
                <w:i w:val="false"/>
                <w:iCs w:val="false"/>
                <w:color w:val="000000"/>
                <w:sz w:val="20"/>
                <w:szCs w:val="20"/>
              </w:rPr>
              <w:t xml:space="preserve">Obligation</w:t>
            </w:r>
          </w:p>
        </w:tc>
        <w:tc>
          <w:tcPr>
            <w:tcW w:type="dxa" w:w="3232"/>
            <w:tcBorders>
              <w:top w:val="single" w:color="000000" w:sz="4"/>
              <w:left w:val="single" w:color="000000" w:sz="4"/>
              <w:bottom w:val="single" w:color="000000" w:sz="4"/>
              <w:right w:val="single" w:color="000000" w:sz="4"/>
            </w:tcBorders>
            <w:shd w:fill="D9D9D9" w:color="auto" w:val="clear"/>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bCs/>
                <w:i w:val="false"/>
                <w:iCs w:val="false"/>
                <w:color w:val="000000"/>
                <w:sz w:val="20"/>
                <w:szCs w:val="20"/>
              </w:rPr>
              <w:t xml:space="preserve">Position</w:t>
            </w:r>
          </w:p>
        </w:tc>
        <w:tc>
          <w:tcPr>
            <w:tcW w:type="dxa" w:w="3422"/>
            <w:tcBorders>
              <w:top w:val="single" w:color="000000" w:sz="4"/>
              <w:left w:val="single" w:color="000000" w:sz="4"/>
              <w:bottom w:val="single" w:color="000000" w:sz="4"/>
              <w:right w:val="single" w:color="000000" w:sz="4"/>
            </w:tcBorders>
            <w:shd w:fill="D9D9D9" w:color="auto" w:val="clear"/>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bCs/>
                <w:i w:val="false"/>
                <w:iCs w:val="false"/>
                <w:color w:val="000000"/>
                <w:sz w:val="20"/>
                <w:szCs w:val="20"/>
              </w:rPr>
              <w:t xml:space="preserve">Outstanding</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1</w:t>
            </w:r>
          </w:p>
        </w:tc>
        <w:tc>
          <w:tcPr>
            <w:tcW w:type="dxa" w:w="2471"/>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Lawful basis and privacy notice</w:t>
            </w:r>
          </w:p>
        </w:tc>
        <w:tc>
          <w:tcPr>
            <w:tcW w:type="dxa" w:w="3232"/>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Not yet established</w:t>
            </w:r>
          </w:p>
        </w:tc>
        <w:tc>
          <w:tcPr>
            <w:tcW w:type="dxa" w:w="3422"/>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Required before real records. Owned by the data protection owner</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2</w:t>
            </w:r>
          </w:p>
        </w:tc>
        <w:tc>
          <w:tcPr>
            <w:tcW w:type="dxa" w:w="2471"/>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Data minimisation by role</w:t>
            </w:r>
          </w:p>
        </w:tc>
        <w:tc>
          <w:tcPr>
            <w:tcW w:type="dxa" w:w="3232"/>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Implemented. Each role sees only what its function requires</w:t>
            </w:r>
          </w:p>
        </w:tc>
        <w:tc>
          <w:tcPr>
            <w:tcW w:type="dxa" w:w="3422"/>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None</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3</w:t>
            </w:r>
          </w:p>
        </w:tc>
        <w:tc>
          <w:tcPr>
            <w:tcW w:type="dxa" w:w="2471"/>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Record of access to personal data</w:t>
            </w:r>
          </w:p>
        </w:tc>
        <w:tc>
          <w:tcPr>
            <w:tcW w:type="dxa" w:w="3232"/>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Partly implemented through the clinical access log</w:t>
            </w:r>
          </w:p>
        </w:tc>
        <w:tc>
          <w:tcPr>
            <w:tcW w:type="dxa" w:w="3422"/>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Tamper resistance and a distinct export event, see SEC-04 and SEC-05</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4</w:t>
            </w:r>
          </w:p>
        </w:tc>
        <w:tc>
          <w:tcPr>
            <w:tcW w:type="dxa" w:w="2471"/>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Retention and disposal</w:t>
            </w:r>
          </w:p>
        </w:tc>
        <w:tc>
          <w:tcPr>
            <w:tcW w:type="dxa" w:w="3232"/>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Not set. No period is assumed by the system</w:t>
            </w:r>
          </w:p>
        </w:tc>
        <w:tc>
          <w:tcPr>
            <w:tcW w:type="dxa" w:w="3422"/>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Policy required. The system does not invent one</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5</w:t>
            </w:r>
          </w:p>
        </w:tc>
        <w:tc>
          <w:tcPr>
            <w:tcW w:type="dxa" w:w="2471"/>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Security of processing</w:t>
            </w:r>
          </w:p>
        </w:tc>
        <w:tc>
          <w:tcPr>
            <w:tcW w:type="dxa" w:w="3232"/>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Partly implemented</w:t>
            </w:r>
          </w:p>
        </w:tc>
        <w:tc>
          <w:tcPr>
            <w:tcW w:type="dxa" w:w="3422"/>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Transport encryption and backups, see SEC-01 and SEC-11</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6</w:t>
            </w:r>
          </w:p>
        </w:tc>
        <w:tc>
          <w:tcPr>
            <w:tcW w:type="dxa" w:w="2471"/>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Data residency</w:t>
            </w:r>
          </w:p>
        </w:tc>
        <w:tc>
          <w:tcPr>
            <w:tcW w:type="dxa" w:w="3232"/>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Deployed only on KMC controlled infrastructure</w:t>
            </w:r>
          </w:p>
        </w:tc>
        <w:tc>
          <w:tcPr>
            <w:tcW w:type="dxa" w:w="3422"/>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To be confirmed as an approved position</w:t>
            </w:r>
          </w:p>
        </w:tc>
      </w:tr>
    </w:tbl>
    <w:p>
      <w:pPr>
        <w:pStyle w:val="Heading2"/>
        <w:numPr>
          <w:ilvl w:val="1"/>
          <w:numId w:val="2"/>
        </w:numPr>
        <w:spacing w:after="150" w:before="270"/>
        <w:ind w:left="0" w:right="0" w:firstLine="0"/>
        <w:jc w:val="left"/>
      </w:pPr>
      <w:bookmarkStart w:name="h_21" w:id="1"/>
      <w:r>
        <w:rPr>
          <w:rFonts w:ascii="Times New Roman" w:cs="Times New Roman" w:eastAsia="Times New Roman" w:hAnsi="Times New Roman"/>
          <w:b/>
          <w:bCs/>
          <w:i w:val="false"/>
          <w:iCs w:val="false"/>
          <w:color w:val="000000"/>
          <w:sz w:val="24"/>
          <w:szCs w:val="24"/>
        </w:rPr>
        <w:t xml:space="preserve">Synthetic data in non-production</w:t>
      </w:r>
      <w:bookmarkEnd w:id="1"/>
    </w:p>
    <w:p>
      <w:pPr>
        <w:spacing w:after="160" w:line="276" w:lineRule="auto"/>
        <w:ind w:left="0" w:right="0" w:firstLine="0"/>
        <w:jc w:val="both"/>
      </w:pPr>
      <w:r>
        <w:rPr>
          <w:rFonts w:ascii="Times New Roman" w:cs="Times New Roman" w:eastAsia="Times New Roman" w:hAnsi="Times New Roman"/>
          <w:b w:val="false"/>
          <w:bCs w:val="false"/>
          <w:i w:val="false"/>
          <w:iCs w:val="false"/>
          <w:color w:val="000000"/>
          <w:sz w:val="24"/>
          <w:szCs w:val="24"/>
        </w:rPr>
        <w:t xml:space="preserve">No real clinical record is copied into a development, testing or demonstration environment at any point. This is stated as an absolute because it is the control most often eroded by convenience, and because a copy of clinical data taken for testing is a disclosure whatever the intention behind it.</w:t>
      </w:r>
    </w:p>
    <w:p>
      <w:pPr>
        <w:pStyle w:val="Heading2"/>
        <w:numPr>
          <w:ilvl w:val="1"/>
          <w:numId w:val="2"/>
        </w:numPr>
        <w:spacing w:after="150" w:before="270"/>
        <w:ind w:left="0" w:right="0" w:firstLine="0"/>
        <w:jc w:val="left"/>
      </w:pPr>
      <w:bookmarkStart w:name="h_22" w:id="1"/>
      <w:r>
        <w:rPr>
          <w:rFonts w:ascii="Times New Roman" w:cs="Times New Roman" w:eastAsia="Times New Roman" w:hAnsi="Times New Roman"/>
          <w:b/>
          <w:bCs/>
          <w:i w:val="false"/>
          <w:iCs w:val="false"/>
          <w:color w:val="000000"/>
          <w:sz w:val="24"/>
          <w:szCs w:val="24"/>
        </w:rPr>
        <w:t xml:space="preserve">Patient history export and data minimisation</w:t>
      </w:r>
      <w:bookmarkEnd w:id="1"/>
    </w:p>
    <w:p>
      <w:pPr>
        <w:spacing w:after="160" w:line="276" w:lineRule="auto"/>
        <w:ind w:left="0" w:right="0" w:firstLine="0"/>
        <w:jc w:val="both"/>
      </w:pPr>
      <w:r>
        <w:rPr>
          <w:rFonts w:ascii="Times New Roman" w:cs="Times New Roman" w:eastAsia="Times New Roman" w:hAnsi="Times New Roman"/>
          <w:b w:val="false"/>
          <w:bCs w:val="false"/>
          <w:i w:val="false"/>
          <w:iCs w:val="false"/>
          <w:color w:val="000000"/>
          <w:sz w:val="24"/>
          <w:szCs w:val="24"/>
        </w:rPr>
        <w:t xml:space="preserve">The Data Protection and Privacy Act, 2019 requires personal data processed for a purpose to be adequate and relevant, and not excessive. Opening the patient record currently creates one detail event. The browser then generates the history summary from the data already returned, so downloading the file creates no further server request and no distinct access event. The access_route constraint does not permit export.</w:t>
      </w:r>
    </w:p>
    <w:p>
      <w:pPr>
        <w:spacing w:after="160" w:line="276" w:lineRule="auto"/>
        <w:ind w:left="0" w:right="0" w:firstLine="0"/>
        <w:jc w:val="both"/>
      </w:pPr>
      <w:r>
        <w:rPr>
          <w:rFonts w:ascii="Times New Roman" w:cs="Times New Roman" w:eastAsia="Times New Roman" w:hAnsi="Times New Roman"/>
          <w:b w:val="false"/>
          <w:bCs w:val="false"/>
          <w:i w:val="false"/>
          <w:iCs w:val="false"/>
          <w:color w:val="000000"/>
          <w:sz w:val="24"/>
          <w:szCs w:val="24"/>
        </w:rPr>
        <w:t xml:space="preserve">A portable clinical file can be disclosed beyond the application and is a materially different processing act from viewing the screen. An export event containing the document type and patient reference would be relevant to accountability, while clinical narrative in that event would be excessive and would turn the audit log into another clinical record. The current log is therefore not adequate to distinguish viewing from export, and the narrow event proposed at DEC-037 is the proportionate correction.</w:t>
      </w:r>
    </w:p>
    <w:p>
      <w:pPr>
        <w:pStyle w:val="Heading2"/>
        <w:numPr>
          <w:ilvl w:val="1"/>
          <w:numId w:val="2"/>
        </w:numPr>
        <w:spacing w:after="150" w:before="270"/>
        <w:ind w:left="0" w:right="0" w:firstLine="0"/>
        <w:jc w:val="left"/>
      </w:pPr>
      <w:bookmarkStart w:name="h_23" w:id="1"/>
      <w:r>
        <w:rPr>
          <w:rFonts w:ascii="Times New Roman" w:cs="Times New Roman" w:eastAsia="Times New Roman" w:hAnsi="Times New Roman"/>
          <w:b/>
          <w:bCs/>
          <w:i w:val="false"/>
          <w:iCs w:val="false"/>
          <w:color w:val="000000"/>
          <w:sz w:val="24"/>
          <w:szCs w:val="24"/>
        </w:rPr>
        <w:t xml:space="preserve">A conflict requiring a decision</w:t>
      </w:r>
      <w:bookmarkEnd w:id="1"/>
    </w:p>
    <w:p>
      <w:pPr>
        <w:spacing w:after="160" w:line="276" w:lineRule="auto"/>
        <w:ind w:left="0" w:right="0" w:firstLine="0"/>
        <w:jc w:val="both"/>
      </w:pPr>
      <w:r>
        <w:rPr>
          <w:rFonts w:ascii="Times New Roman" w:cs="Times New Roman" w:eastAsia="Times New Roman" w:hAnsi="Times New Roman"/>
          <w:b w:val="false"/>
          <w:bCs w:val="false"/>
          <w:i w:val="false"/>
          <w:iCs w:val="false"/>
          <w:color w:val="000000"/>
          <w:sz w:val="24"/>
          <w:szCs w:val="24"/>
        </w:rPr>
        <w:t xml:space="preserve">The referral form requires the Head of Division and the Chief of Staff to sign a document that carries a provisional diagnosis, HIV status and mental health condition. That cannot stand alongside the rule that no management role sees an individual clinical record.</w:t>
      </w:r>
    </w:p>
    <w:p>
      <w:pPr>
        <w:spacing w:after="160" w:line="276" w:lineRule="auto"/>
        <w:ind w:left="0" w:right="0" w:firstLine="0"/>
        <w:jc w:val="both"/>
      </w:pPr>
      <w:r>
        <w:rPr>
          <w:rFonts w:ascii="Times New Roman" w:cs="Times New Roman" w:eastAsia="Times New Roman" w:hAnsi="Times New Roman"/>
          <w:b w:val="false"/>
          <w:bCs w:val="false"/>
          <w:i w:val="false"/>
          <w:iCs w:val="false"/>
          <w:color w:val="000000"/>
          <w:sz w:val="24"/>
          <w:szCs w:val="24"/>
        </w:rPr>
        <w:t xml:space="preserve">The clinical service can assemble a minimum-disclosure summary containing the patient, destination, referral reason and cost implication, but its route is officer-only. No management role has any route to that summary or to the referral while DEC-024 remains open. If KMC decides that authorisers see clinical content, the Corporation must record the lawful basis, exact fields, controls and retention before the route is changed, because digitising the form does not itself authorise the disclosure.</w:t>
      </w:r>
    </w:p>
    <w:p>
      <w:pPr>
        <w:pStyle w:val="Heading1"/>
        <w:numPr>
          <w:ilvl w:val="0"/>
          <w:numId w:val="2"/>
        </w:numPr>
        <w:spacing w:after="170" w:before="300"/>
        <w:ind w:left="0" w:right="0" w:firstLine="0"/>
        <w:jc w:val="left"/>
      </w:pPr>
      <w:bookmarkStart w:name="h_24" w:id="1"/>
      <w:r>
        <w:rPr>
          <w:rFonts w:ascii="Times New Roman" w:cs="Times New Roman" w:eastAsia="Times New Roman" w:hAnsi="Times New Roman"/>
          <w:b/>
          <w:bCs/>
          <w:i w:val="false"/>
          <w:iCs w:val="false"/>
          <w:color w:val="000000"/>
          <w:sz w:val="24"/>
          <w:szCs w:val="24"/>
        </w:rPr>
        <w:t xml:space="preserve">Remediation</w:t>
      </w:r>
      <w:bookmarkEnd w:id="1"/>
    </w:p>
    <w:p>
      <w:pPr>
        <w:pStyle w:val="Heading2"/>
        <w:numPr>
          <w:ilvl w:val="1"/>
          <w:numId w:val="2"/>
        </w:numPr>
        <w:spacing w:after="150" w:before="270"/>
        <w:ind w:left="0" w:right="0" w:firstLine="0"/>
        <w:jc w:val="left"/>
      </w:pPr>
      <w:bookmarkStart w:name="h_25" w:id="1"/>
      <w:r>
        <w:rPr>
          <w:rFonts w:ascii="Times New Roman" w:cs="Times New Roman" w:eastAsia="Times New Roman" w:hAnsi="Times New Roman"/>
          <w:b/>
          <w:bCs/>
          <w:i w:val="false"/>
          <w:iCs w:val="false"/>
          <w:color w:val="000000"/>
          <w:sz w:val="24"/>
          <w:szCs w:val="24"/>
        </w:rPr>
        <w:t xml:space="preserve">Before user testing</w:t>
      </w:r>
      <w:bookmarkEnd w:id="1"/>
    </w:p>
    <w:p>
      <w:pPr>
        <w:spacing w:after="160" w:line="276" w:lineRule="auto"/>
        <w:ind w:left="0" w:right="0" w:firstLine="0"/>
        <w:jc w:val="both"/>
      </w:pPr>
      <w:r>
        <w:rPr>
          <w:rFonts w:ascii="Times New Roman" w:cs="Times New Roman" w:eastAsia="Times New Roman" w:hAnsi="Times New Roman"/>
          <w:b w:val="false"/>
          <w:bCs w:val="false"/>
          <w:i w:val="false"/>
          <w:iCs w:val="false"/>
          <w:color w:val="000000"/>
          <w:sz w:val="24"/>
          <w:szCs w:val="24"/>
        </w:rPr>
        <w:t xml:space="preserve">User testing uses synthetic data only, so the bar is lower than for production. The following must nonetheless be closed, because testing takes place on a KMC network with real accounts held by real people.</w:t>
      </w:r>
    </w:p>
    <w:p>
      <w:pPr>
        <w:pStyle w:val="TableCaption"/>
        <w:spacing w:after="120" w:before="120"/>
        <w:ind w:left="0" w:right="0" w:firstLine="0"/>
        <w:jc w:val="left"/>
      </w:pPr>
      <w:bookmarkStart w:name="tbl_5_1" w:id="1"/>
      <w:r>
        <w:rPr>
          <w:rFonts w:ascii="Times New Roman" w:cs="Times New Roman" w:eastAsia="Times New Roman" w:hAnsi="Times New Roman"/>
          <w:b w:val="false"/>
          <w:bCs w:val="false"/>
          <w:i/>
          <w:iCs/>
          <w:color w:val="000000"/>
          <w:sz w:val="18"/>
          <w:szCs w:val="18"/>
        </w:rPr>
        <w:t xml:space="preserve">Table 5.1</w:t>
      </w:r>
      <w:bookmarkEnd w:id="1"/>
      <w:r>
        <w:rPr>
          <w:rFonts w:ascii="Times New Roman" w:cs="Times New Roman" w:eastAsia="Times New Roman" w:hAnsi="Times New Roman"/>
          <w:b w:val="false"/>
          <w:bCs w:val="false"/>
          <w:i/>
          <w:iCs/>
          <w:color w:val="000000"/>
          <w:sz w:val="18"/>
          <w:szCs w:val="18"/>
        </w:rPr>
        <w:t xml:space="preserve">: Remediation required before user testing</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620"/>
        <w:gridCol w:w="1330"/>
        <w:gridCol w:w="5133"/>
        <w:gridCol w:w="2661"/>
      </w:tblGrid>
      <w:tr>
        <w:trPr>
          <w:tblHeader/>
        </w:trPr>
        <w:tc>
          <w:tcPr>
            <w:tcW w:type="dxa" w:w="620"/>
            <w:tcBorders>
              <w:top w:val="single" w:color="000000" w:sz="4"/>
              <w:left w:val="single" w:color="000000" w:sz="4"/>
              <w:bottom w:val="single" w:color="000000" w:sz="4"/>
              <w:right w:val="single" w:color="000000" w:sz="4"/>
            </w:tcBorders>
            <w:shd w:fill="D9D9D9" w:color="auto" w:val="clear"/>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bCs/>
                <w:i w:val="false"/>
                <w:iCs w:val="false"/>
                <w:color w:val="000000"/>
                <w:sz w:val="20"/>
                <w:szCs w:val="20"/>
              </w:rPr>
              <w:t xml:space="preserve">S/N</w:t>
            </w:r>
          </w:p>
        </w:tc>
        <w:tc>
          <w:tcPr>
            <w:tcW w:type="dxa" w:w="1330"/>
            <w:tcBorders>
              <w:top w:val="single" w:color="000000" w:sz="4"/>
              <w:left w:val="single" w:color="000000" w:sz="4"/>
              <w:bottom w:val="single" w:color="000000" w:sz="4"/>
              <w:right w:val="single" w:color="000000" w:sz="4"/>
            </w:tcBorders>
            <w:shd w:fill="D9D9D9" w:color="auto" w:val="clear"/>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bCs/>
                <w:i w:val="false"/>
                <w:iCs w:val="false"/>
                <w:color w:val="000000"/>
                <w:sz w:val="20"/>
                <w:szCs w:val="20"/>
              </w:rPr>
              <w:t xml:space="preserve">Reference</w:t>
            </w:r>
          </w:p>
        </w:tc>
        <w:tc>
          <w:tcPr>
            <w:tcW w:type="dxa" w:w="5133"/>
            <w:tcBorders>
              <w:top w:val="single" w:color="000000" w:sz="4"/>
              <w:left w:val="single" w:color="000000" w:sz="4"/>
              <w:bottom w:val="single" w:color="000000" w:sz="4"/>
              <w:right w:val="single" w:color="000000" w:sz="4"/>
            </w:tcBorders>
            <w:shd w:fill="D9D9D9" w:color="auto" w:val="clear"/>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bCs/>
                <w:i w:val="false"/>
                <w:iCs w:val="false"/>
                <w:color w:val="000000"/>
                <w:sz w:val="20"/>
                <w:szCs w:val="20"/>
              </w:rPr>
              <w:t xml:space="preserve">Action</w:t>
            </w:r>
          </w:p>
        </w:tc>
        <w:tc>
          <w:tcPr>
            <w:tcW w:type="dxa" w:w="2661"/>
            <w:tcBorders>
              <w:top w:val="single" w:color="000000" w:sz="4"/>
              <w:left w:val="single" w:color="000000" w:sz="4"/>
              <w:bottom w:val="single" w:color="000000" w:sz="4"/>
              <w:right w:val="single" w:color="000000" w:sz="4"/>
            </w:tcBorders>
            <w:shd w:fill="D9D9D9" w:color="auto" w:val="clear"/>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bCs/>
                <w:i w:val="false"/>
                <w:iCs w:val="false"/>
                <w:color w:val="000000"/>
                <w:sz w:val="20"/>
                <w:szCs w:val="20"/>
              </w:rPr>
              <w:t xml:space="preserve">Owner</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1</w:t>
            </w:r>
          </w:p>
        </w:tc>
        <w:tc>
          <w:tcPr>
            <w:tcW w:type="dxa" w:w="133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SEC-01</w:t>
            </w:r>
          </w:p>
        </w:tc>
        <w:tc>
          <w:tcPr>
            <w:tcW w:type="dxa" w:w="5133"/>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Terminate transport encryption at the ingress and set the secure cookie flag</w:t>
            </w:r>
          </w:p>
        </w:tc>
        <w:tc>
          <w:tcPr>
            <w:tcW w:type="dxa" w:w="2661"/>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KMC ICT</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2</w:t>
            </w:r>
          </w:p>
        </w:tc>
        <w:tc>
          <w:tcPr>
            <w:tcW w:type="dxa" w:w="133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SEC-02</w:t>
            </w:r>
          </w:p>
        </w:tc>
        <w:tc>
          <w:tcPr>
            <w:tcW w:type="dxa" w:w="5133"/>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Replace every development credential with a value generated from a controlled source</w:t>
            </w:r>
          </w:p>
        </w:tc>
        <w:tc>
          <w:tcPr>
            <w:tcW w:type="dxa" w:w="2661"/>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KMC ICT</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3</w:t>
            </w:r>
          </w:p>
        </w:tc>
        <w:tc>
          <w:tcPr>
            <w:tcW w:type="dxa" w:w="133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SEC-13</w:t>
            </w:r>
          </w:p>
        </w:tc>
        <w:tc>
          <w:tcPr>
            <w:tcW w:type="dxa" w:w="5133"/>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Restrict the identity provider administrative console to an administrative network</w:t>
            </w:r>
          </w:p>
        </w:tc>
        <w:tc>
          <w:tcPr>
            <w:tcW w:type="dxa" w:w="2661"/>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KMC ICT</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4</w:t>
            </w:r>
          </w:p>
        </w:tc>
        <w:tc>
          <w:tcPr>
            <w:tcW w:type="dxa" w:w="133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None</w:t>
            </w:r>
          </w:p>
        </w:tc>
        <w:tc>
          <w:tcPr>
            <w:tcW w:type="dxa" w:w="5133"/>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Confirm in writing that the environment holds synthetic data only, and that participants are named</w:t>
            </w:r>
          </w:p>
        </w:tc>
        <w:tc>
          <w:tcPr>
            <w:tcW w:type="dxa" w:w="2661"/>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Health and Wellness Division</w:t>
            </w:r>
          </w:p>
        </w:tc>
      </w:tr>
    </w:tbl>
    <w:p>
      <w:pPr>
        <w:pStyle w:val="Heading2"/>
        <w:numPr>
          <w:ilvl w:val="1"/>
          <w:numId w:val="2"/>
        </w:numPr>
        <w:spacing w:after="150" w:before="270"/>
        <w:ind w:left="0" w:right="0" w:firstLine="0"/>
        <w:jc w:val="left"/>
      </w:pPr>
      <w:bookmarkStart w:name="h_26" w:id="1"/>
      <w:r>
        <w:rPr>
          <w:rFonts w:ascii="Times New Roman" w:cs="Times New Roman" w:eastAsia="Times New Roman" w:hAnsi="Times New Roman"/>
          <w:b/>
          <w:bCs/>
          <w:i w:val="false"/>
          <w:iCs w:val="false"/>
          <w:color w:val="000000"/>
          <w:sz w:val="24"/>
          <w:szCs w:val="24"/>
        </w:rPr>
        <w:t xml:space="preserve">Before real clinical records</w:t>
      </w:r>
      <w:bookmarkEnd w:id="1"/>
    </w:p>
    <w:p>
      <w:pPr>
        <w:pStyle w:val="TableCaption"/>
        <w:spacing w:after="120" w:before="120"/>
        <w:ind w:left="0" w:right="0" w:firstLine="0"/>
        <w:jc w:val="left"/>
      </w:pPr>
      <w:bookmarkStart w:name="tbl_5_2" w:id="1"/>
      <w:r>
        <w:rPr>
          <w:rFonts w:ascii="Times New Roman" w:cs="Times New Roman" w:eastAsia="Times New Roman" w:hAnsi="Times New Roman"/>
          <w:b w:val="false"/>
          <w:bCs w:val="false"/>
          <w:i/>
          <w:iCs/>
          <w:color w:val="000000"/>
          <w:sz w:val="18"/>
          <w:szCs w:val="18"/>
        </w:rPr>
        <w:t xml:space="preserve">Table 5.2</w:t>
      </w:r>
      <w:bookmarkEnd w:id="1"/>
      <w:r>
        <w:rPr>
          <w:rFonts w:ascii="Times New Roman" w:cs="Times New Roman" w:eastAsia="Times New Roman" w:hAnsi="Times New Roman"/>
          <w:b w:val="false"/>
          <w:bCs w:val="false"/>
          <w:i/>
          <w:iCs/>
          <w:color w:val="000000"/>
          <w:sz w:val="18"/>
          <w:szCs w:val="18"/>
        </w:rPr>
        <w:t xml:space="preserve">: Remediation required before any real clinical record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620"/>
        <w:gridCol w:w="1330"/>
        <w:gridCol w:w="5133"/>
        <w:gridCol w:w="2661"/>
      </w:tblGrid>
      <w:tr>
        <w:trPr>
          <w:tblHeader/>
        </w:trPr>
        <w:tc>
          <w:tcPr>
            <w:tcW w:type="dxa" w:w="620"/>
            <w:tcBorders>
              <w:top w:val="single" w:color="000000" w:sz="4"/>
              <w:left w:val="single" w:color="000000" w:sz="4"/>
              <w:bottom w:val="single" w:color="000000" w:sz="4"/>
              <w:right w:val="single" w:color="000000" w:sz="4"/>
            </w:tcBorders>
            <w:shd w:fill="D9D9D9" w:color="auto" w:val="clear"/>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bCs/>
                <w:i w:val="false"/>
                <w:iCs w:val="false"/>
                <w:color w:val="000000"/>
                <w:sz w:val="20"/>
                <w:szCs w:val="20"/>
              </w:rPr>
              <w:t xml:space="preserve">S/N</w:t>
            </w:r>
          </w:p>
        </w:tc>
        <w:tc>
          <w:tcPr>
            <w:tcW w:type="dxa" w:w="1330"/>
            <w:tcBorders>
              <w:top w:val="single" w:color="000000" w:sz="4"/>
              <w:left w:val="single" w:color="000000" w:sz="4"/>
              <w:bottom w:val="single" w:color="000000" w:sz="4"/>
              <w:right w:val="single" w:color="000000" w:sz="4"/>
            </w:tcBorders>
            <w:shd w:fill="D9D9D9" w:color="auto" w:val="clear"/>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bCs/>
                <w:i w:val="false"/>
                <w:iCs w:val="false"/>
                <w:color w:val="000000"/>
                <w:sz w:val="20"/>
                <w:szCs w:val="20"/>
              </w:rPr>
              <w:t xml:space="preserve">Reference</w:t>
            </w:r>
          </w:p>
        </w:tc>
        <w:tc>
          <w:tcPr>
            <w:tcW w:type="dxa" w:w="5133"/>
            <w:tcBorders>
              <w:top w:val="single" w:color="000000" w:sz="4"/>
              <w:left w:val="single" w:color="000000" w:sz="4"/>
              <w:bottom w:val="single" w:color="000000" w:sz="4"/>
              <w:right w:val="single" w:color="000000" w:sz="4"/>
            </w:tcBorders>
            <w:shd w:fill="D9D9D9" w:color="auto" w:val="clear"/>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bCs/>
                <w:i w:val="false"/>
                <w:iCs w:val="false"/>
                <w:color w:val="000000"/>
                <w:sz w:val="20"/>
                <w:szCs w:val="20"/>
              </w:rPr>
              <w:t xml:space="preserve">Action</w:t>
            </w:r>
          </w:p>
        </w:tc>
        <w:tc>
          <w:tcPr>
            <w:tcW w:type="dxa" w:w="2661"/>
            <w:tcBorders>
              <w:top w:val="single" w:color="000000" w:sz="4"/>
              <w:left w:val="single" w:color="000000" w:sz="4"/>
              <w:bottom w:val="single" w:color="000000" w:sz="4"/>
              <w:right w:val="single" w:color="000000" w:sz="4"/>
            </w:tcBorders>
            <w:shd w:fill="D9D9D9" w:color="auto" w:val="clear"/>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bCs/>
                <w:i w:val="false"/>
                <w:iCs w:val="false"/>
                <w:color w:val="000000"/>
                <w:sz w:val="20"/>
                <w:szCs w:val="20"/>
              </w:rPr>
              <w:t xml:space="preserve">Owner</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1</w:t>
            </w:r>
          </w:p>
        </w:tc>
        <w:tc>
          <w:tcPr>
            <w:tcW w:type="dxa" w:w="133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SEC-03</w:t>
            </w:r>
          </w:p>
        </w:tc>
        <w:tc>
          <w:tcPr>
            <w:tcW w:type="dxa" w:w="5133"/>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Enable multi factor authentication for the officer and manager roles</w:t>
            </w:r>
          </w:p>
        </w:tc>
        <w:tc>
          <w:tcPr>
            <w:tcW w:type="dxa" w:w="2661"/>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KMC ICT</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2</w:t>
            </w:r>
          </w:p>
        </w:tc>
        <w:tc>
          <w:tcPr>
            <w:tcW w:type="dxa" w:w="133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SEC-04</w:t>
            </w:r>
          </w:p>
        </w:tc>
        <w:tc>
          <w:tcPr>
            <w:tcW w:type="dxa" w:w="5133"/>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Create the audit boundary, enforce insert-only database grants and place the access log beyond clinical service alteration</w:t>
            </w:r>
          </w:p>
        </w:tc>
        <w:tc>
          <w:tcPr>
            <w:tcW w:type="dxa" w:w="2661"/>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KMC ICT and development</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3</w:t>
            </w:r>
          </w:p>
        </w:tc>
        <w:tc>
          <w:tcPr>
            <w:tcW w:type="dxa" w:w="133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SEC-05</w:t>
            </w:r>
          </w:p>
        </w:tc>
        <w:tc>
          <w:tcPr>
            <w:tcW w:type="dxa" w:w="5133"/>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Write a distinct export event before generating a patient history summary and refuse generation if the write fails</w:t>
            </w:r>
          </w:p>
        </w:tc>
        <w:tc>
          <w:tcPr>
            <w:tcW w:type="dxa" w:w="2661"/>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Development and data protection owner</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4</w:t>
            </w:r>
          </w:p>
        </w:tc>
        <w:tc>
          <w:tcPr>
            <w:tcW w:type="dxa" w:w="133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SEC-06</w:t>
            </w:r>
          </w:p>
        </w:tc>
        <w:tc>
          <w:tcPr>
            <w:tcW w:type="dxa" w:w="5133"/>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Replace the shared metrics ingest secret with a scoped Keycloak service account</w:t>
            </w:r>
          </w:p>
        </w:tc>
        <w:tc>
          <w:tcPr>
            <w:tcW w:type="dxa" w:w="2661"/>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KMC ICT</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5</w:t>
            </w:r>
          </w:p>
        </w:tc>
        <w:tc>
          <w:tcPr>
            <w:tcW w:type="dxa" w:w="133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SEC-10</w:t>
            </w:r>
          </w:p>
        </w:tc>
        <w:tc>
          <w:tcPr>
            <w:tcW w:type="dxa" w:w="5133"/>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Build appended amendment of a signed clinical record</w:t>
            </w:r>
          </w:p>
        </w:tc>
        <w:tc>
          <w:tcPr>
            <w:tcW w:type="dxa" w:w="2661"/>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Development</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6</w:t>
            </w:r>
          </w:p>
        </w:tc>
        <w:tc>
          <w:tcPr>
            <w:tcW w:type="dxa" w:w="133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SEC-12</w:t>
            </w:r>
          </w:p>
        </w:tc>
        <w:tc>
          <w:tcPr>
            <w:tcW w:type="dxa" w:w="5133"/>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Complete clinical PostgreSQL TLS configuration or approve a different connection policy in writing</w:t>
            </w:r>
          </w:p>
        </w:tc>
        <w:tc>
          <w:tcPr>
            <w:tcW w:type="dxa" w:w="2661"/>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KMC ICT</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7</w:t>
            </w:r>
          </w:p>
        </w:tc>
        <w:tc>
          <w:tcPr>
            <w:tcW w:type="dxa" w:w="133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SEC-14</w:t>
            </w:r>
          </w:p>
        </w:tc>
        <w:tc>
          <w:tcPr>
            <w:tcW w:type="dxa" w:w="5133"/>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Configure nightly encrypted backup with a separate clinical key, and test a restore</w:t>
            </w:r>
          </w:p>
        </w:tc>
        <w:tc>
          <w:tcPr>
            <w:tcW w:type="dxa" w:w="2661"/>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KMC ICT</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8</w:t>
            </w:r>
          </w:p>
        </w:tc>
        <w:tc>
          <w:tcPr>
            <w:tcW w:type="dxa" w:w="133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None</w:t>
            </w:r>
          </w:p>
        </w:tc>
        <w:tc>
          <w:tcPr>
            <w:tcW w:type="dxa" w:w="5133"/>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Establish lawful basis, privacy notice and retention policy</w:t>
            </w:r>
          </w:p>
        </w:tc>
        <w:tc>
          <w:tcPr>
            <w:tcW w:type="dxa" w:w="2661"/>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Data protection owner</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9</w:t>
            </w:r>
          </w:p>
        </w:tc>
        <w:tc>
          <w:tcPr>
            <w:tcW w:type="dxa" w:w="133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None</w:t>
            </w:r>
          </w:p>
        </w:tc>
        <w:tc>
          <w:tcPr>
            <w:tcW w:type="dxa" w:w="5133"/>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Settle the referral authorisation conflict described in Section 4.3</w:t>
            </w:r>
          </w:p>
        </w:tc>
        <w:tc>
          <w:tcPr>
            <w:tcW w:type="dxa" w:w="2661"/>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Division and data protection owner</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10</w:t>
            </w:r>
          </w:p>
        </w:tc>
        <w:tc>
          <w:tcPr>
            <w:tcW w:type="dxa" w:w="133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None</w:t>
            </w:r>
          </w:p>
        </w:tc>
        <w:tc>
          <w:tcPr>
            <w:tcW w:type="dxa" w:w="5133"/>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Appoint named business, technical and data owners</w:t>
            </w:r>
          </w:p>
        </w:tc>
        <w:tc>
          <w:tcPr>
            <w:tcW w:type="dxa" w:w="2661"/>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Department and ICT</w:t>
            </w:r>
          </w:p>
        </w:tc>
      </w:tr>
    </w:tbl>
    <w:p>
      <w:pPr>
        <w:pStyle w:val="Heading2"/>
        <w:numPr>
          <w:ilvl w:val="1"/>
          <w:numId w:val="2"/>
        </w:numPr>
        <w:spacing w:after="150" w:before="270"/>
        <w:ind w:left="0" w:right="0" w:firstLine="0"/>
        <w:jc w:val="left"/>
      </w:pPr>
      <w:bookmarkStart w:name="h_27" w:id="1"/>
      <w:r>
        <w:rPr>
          <w:rFonts w:ascii="Times New Roman" w:cs="Times New Roman" w:eastAsia="Times New Roman" w:hAnsi="Times New Roman"/>
          <w:b/>
          <w:bCs/>
          <w:i w:val="false"/>
          <w:iCs w:val="false"/>
          <w:color w:val="000000"/>
          <w:sz w:val="24"/>
          <w:szCs w:val="24"/>
        </w:rPr>
        <w:t xml:space="preserve">Compensating controls during testing</w:t>
      </w:r>
      <w:bookmarkEnd w:id="1"/>
    </w:p>
    <w:p>
      <w:pPr>
        <w:spacing w:after="160" w:line="276" w:lineRule="auto"/>
        <w:ind w:left="0" w:right="0" w:firstLine="0"/>
        <w:jc w:val="both"/>
      </w:pPr>
      <w:r>
        <w:rPr>
          <w:rFonts w:ascii="Times New Roman" w:cs="Times New Roman" w:eastAsia="Times New Roman" w:hAnsi="Times New Roman"/>
          <w:b w:val="false"/>
          <w:bCs w:val="false"/>
          <w:i w:val="false"/>
          <w:iCs w:val="false"/>
          <w:color w:val="000000"/>
          <w:sz w:val="24"/>
          <w:szCs w:val="24"/>
        </w:rPr>
        <w:t xml:space="preserve">Until the remediation in Section 5.2 is complete, the following compensating controls are proposed for the duration of user testing and should be formally adopted.</w:t>
      </w:r>
    </w:p>
    <w:p>
      <w:pPr>
        <w:pStyle w:val="ListParagraph"/>
        <w:numPr>
          <w:ilvl w:val="0"/>
          <w:numId w:val="3"/>
        </w:numPr>
        <w:spacing w:after="100" w:line="276" w:lineRule="auto"/>
        <w:jc w:val="both"/>
      </w:pPr>
      <w:r>
        <w:rPr>
          <w:rFonts w:ascii="Times New Roman" w:cs="Times New Roman" w:eastAsia="Times New Roman" w:hAnsi="Times New Roman"/>
          <w:b w:val="false"/>
          <w:bCs w:val="false"/>
          <w:i w:val="false"/>
          <w:iCs w:val="false"/>
          <w:color w:val="000000"/>
          <w:sz w:val="24"/>
          <w:szCs w:val="24"/>
        </w:rPr>
        <w:t xml:space="preserve">The environment holds synthetic records only, and this is verified before each testing session rather than assumed.</w:t>
      </w:r>
    </w:p>
    <w:p>
      <w:pPr>
        <w:pStyle w:val="ListParagraph"/>
        <w:numPr>
          <w:ilvl w:val="0"/>
          <w:numId w:val="3"/>
        </w:numPr>
        <w:spacing w:after="100" w:line="276" w:lineRule="auto"/>
        <w:jc w:val="both"/>
      </w:pPr>
      <w:r>
        <w:rPr>
          <w:rFonts w:ascii="Times New Roman" w:cs="Times New Roman" w:eastAsia="Times New Roman" w:hAnsi="Times New Roman"/>
          <w:b w:val="false"/>
          <w:bCs w:val="false"/>
          <w:i w:val="false"/>
          <w:iCs w:val="false"/>
          <w:color w:val="000000"/>
          <w:sz w:val="24"/>
          <w:szCs w:val="24"/>
        </w:rPr>
        <w:t xml:space="preserve">Access is restricted to named participants, and accounts are disabled at the end of testing.</w:t>
      </w:r>
    </w:p>
    <w:p>
      <w:pPr>
        <w:pStyle w:val="ListParagraph"/>
        <w:numPr>
          <w:ilvl w:val="0"/>
          <w:numId w:val="3"/>
        </w:numPr>
        <w:spacing w:after="100" w:line="276" w:lineRule="auto"/>
        <w:jc w:val="both"/>
      </w:pPr>
      <w:r>
        <w:rPr>
          <w:rFonts w:ascii="Times New Roman" w:cs="Times New Roman" w:eastAsia="Times New Roman" w:hAnsi="Times New Roman"/>
          <w:b w:val="false"/>
          <w:bCs w:val="false"/>
          <w:i w:val="false"/>
          <w:iCs w:val="false"/>
          <w:color w:val="000000"/>
          <w:sz w:val="24"/>
          <w:szCs w:val="24"/>
        </w:rPr>
        <w:t xml:space="preserve">The environment is reachable only from the plant network.</w:t>
      </w:r>
    </w:p>
    <w:p>
      <w:pPr>
        <w:pStyle w:val="ListParagraph"/>
        <w:numPr>
          <w:ilvl w:val="0"/>
          <w:numId w:val="3"/>
        </w:numPr>
        <w:spacing w:after="100" w:line="276" w:lineRule="auto"/>
        <w:jc w:val="both"/>
      </w:pPr>
      <w:r>
        <w:rPr>
          <w:rFonts w:ascii="Times New Roman" w:cs="Times New Roman" w:eastAsia="Times New Roman" w:hAnsi="Times New Roman"/>
          <w:b w:val="false"/>
          <w:bCs w:val="false"/>
          <w:i w:val="false"/>
          <w:iCs w:val="false"/>
          <w:color w:val="000000"/>
          <w:sz w:val="24"/>
          <w:szCs w:val="24"/>
        </w:rPr>
        <w:t xml:space="preserve">Any defect that exposes a record across roles halts testing until it is closed.</w:t>
      </w:r>
    </w:p>
    <w:p>
      <w:pPr>
        <w:pStyle w:val="Heading1"/>
        <w:numPr>
          <w:ilvl w:val="0"/>
          <w:numId w:val="2"/>
        </w:numPr>
        <w:spacing w:after="170" w:before="300"/>
        <w:ind w:left="0" w:right="0" w:firstLine="0"/>
        <w:jc w:val="left"/>
      </w:pPr>
      <w:bookmarkStart w:name="h_28" w:id="1"/>
      <w:r>
        <w:rPr>
          <w:rFonts w:ascii="Times New Roman" w:cs="Times New Roman" w:eastAsia="Times New Roman" w:hAnsi="Times New Roman"/>
          <w:b/>
          <w:bCs/>
          <w:i w:val="false"/>
          <w:iCs w:val="false"/>
          <w:color w:val="000000"/>
          <w:sz w:val="24"/>
          <w:szCs w:val="24"/>
        </w:rPr>
        <w:t xml:space="preserve">Conclusion</w:t>
      </w:r>
      <w:bookmarkEnd w:id="1"/>
    </w:p>
    <w:p>
      <w:pPr>
        <w:spacing w:after="160" w:line="276" w:lineRule="auto"/>
        <w:ind w:left="0" w:right="0" w:firstLine="0"/>
        <w:jc w:val="both"/>
      </w:pPr>
      <w:r>
        <w:rPr>
          <w:rFonts w:ascii="Times New Roman" w:cs="Times New Roman" w:eastAsia="Times New Roman" w:hAnsi="Times New Roman"/>
          <w:b w:val="false"/>
          <w:bCs w:val="false"/>
          <w:i w:val="false"/>
          <w:iCs w:val="false"/>
          <w:color w:val="000000"/>
          <w:sz w:val="24"/>
          <w:szCs w:val="24"/>
        </w:rPr>
        <w:t xml:space="preserve">The confidentiality boundary is present in identity, routes, services and deployment. Delegated authentication, tokens held away from the browser, route-wide access tests, server-side referral identity derivation, route-template logging, a separately credentialed clinical database and the narrow metrics contract are implemented controls. They reduce the likelihood that a general service defect becomes a clinical disclosure.</w:t>
      </w:r>
    </w:p>
    <w:p>
      <w:pPr>
        <w:spacing w:after="160" w:line="276" w:lineRule="auto"/>
        <w:ind w:left="0" w:right="0" w:firstLine="0"/>
        <w:jc w:val="both"/>
      </w:pPr>
      <w:r>
        <w:rPr>
          <w:rFonts w:ascii="Times New Roman" w:cs="Times New Roman" w:eastAsia="Times New Roman" w:hAnsi="Times New Roman"/>
          <w:b w:val="false"/>
          <w:bCs w:val="false"/>
          <w:i w:val="false"/>
          <w:iCs w:val="false"/>
          <w:color w:val="000000"/>
          <w:sz w:val="24"/>
          <w:szCs w:val="24"/>
        </w:rPr>
        <w:t xml:space="preserve">The review does not conclude that the audit position is complete. The clinical service can alter its own access-log table, a patient history export is indistinguishable from viewing, and no separate audit deployable exists. Clinical to metrics authentication also remains a shared secret, DEC-024 leaves management referral authorisation without a route, and the k3s clinical database cannot satisfy its required TLS connection as configured. These are application and deployment weaknesses, not matters that can be represented as future hardening.</w:t>
      </w:r>
    </w:p>
    <w:p>
      <w:pPr>
        <w:spacing w:after="160" w:line="276" w:lineRule="auto"/>
        <w:ind w:left="0" w:right="0" w:firstLine="0"/>
        <w:jc w:val="both"/>
      </w:pPr>
      <w:r>
        <w:rPr>
          <w:rFonts w:ascii="Times New Roman" w:cs="Times New Roman" w:eastAsia="Times New Roman" w:hAnsi="Times New Roman"/>
          <w:b w:val="false"/>
          <w:bCs w:val="false"/>
          <w:i w:val="false"/>
          <w:iCs w:val="false"/>
          <w:color w:val="000000"/>
          <w:sz w:val="24"/>
          <w:szCs w:val="24"/>
        </w:rPr>
        <w:t xml:space="preserve">The system may proceed to user testing with synthetic data only after the controls in Section 5.1 are completed and evidenced. No real clinical record may be entered until Section 5.2 is complete, DEC-024 and DEC-037 are resolved for the intended workflows, and the named data protection and service owners accept the remaining position.</w:t>
      </w:r>
    </w:p>
    <w:p>
      <w:r>
        <w:rPr>
          <w:rFonts w:ascii="Times New Roman" w:cs="Times New Roman" w:eastAsia="Times New Roman" w:hAnsi="Times New Roman"/>
          <w:b w:val="false"/>
          <w:bCs w:val="false"/>
          <w:i w:val="false"/>
          <w:iCs w:val="false"/>
          <w:color w:val="000000"/>
          <w:sz w:val="24"/>
          <w:szCs w:val="24"/>
        </w:rPr>
        <w:t xml:space="preserve"/>
      </w:r>
    </w:p>
    <w:p>
      <w:pPr>
        <w:pStyle w:val="TableCaption"/>
        <w:spacing w:after="120" w:before="120"/>
        <w:ind w:left="0" w:right="0" w:firstLine="0"/>
        <w:jc w:val="left"/>
      </w:pPr>
      <w:bookmarkStart w:name="tbl_6_1" w:id="1"/>
      <w:r>
        <w:rPr>
          <w:rFonts w:ascii="Times New Roman" w:cs="Times New Roman" w:eastAsia="Times New Roman" w:hAnsi="Times New Roman"/>
          <w:b w:val="false"/>
          <w:bCs w:val="false"/>
          <w:i/>
          <w:iCs/>
          <w:color w:val="000000"/>
          <w:sz w:val="18"/>
          <w:szCs w:val="18"/>
        </w:rPr>
        <w:t xml:space="preserve">Table 6.1</w:t>
      </w:r>
      <w:bookmarkEnd w:id="1"/>
      <w:r>
        <w:rPr>
          <w:rFonts w:ascii="Times New Roman" w:cs="Times New Roman" w:eastAsia="Times New Roman" w:hAnsi="Times New Roman"/>
          <w:b w:val="false"/>
          <w:bCs w:val="false"/>
          <w:i/>
          <w:iCs/>
          <w:color w:val="000000"/>
          <w:sz w:val="18"/>
          <w:szCs w:val="18"/>
        </w:rPr>
        <w:t xml:space="preserve">: Information security review sign-off</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176"/>
        <w:gridCol w:w="1988"/>
        <w:gridCol w:w="2187"/>
        <w:gridCol w:w="1392"/>
      </w:tblGrid>
      <w:tr>
        <w:trPr>
          <w:tblHeader/>
        </w:trPr>
        <w:tc>
          <w:tcPr>
            <w:tcW w:type="dxa" w:w="4176"/>
            <w:tcBorders>
              <w:top w:val="single" w:color="000000" w:sz="4"/>
              <w:left w:val="single" w:color="000000" w:sz="4"/>
              <w:bottom w:val="single" w:color="000000" w:sz="4"/>
              <w:right w:val="single" w:color="000000" w:sz="4"/>
            </w:tcBorders>
            <w:shd w:fill="D9D9D9" w:color="auto" w:val="clear"/>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bCs/>
                <w:i w:val="false"/>
                <w:iCs w:val="false"/>
                <w:color w:val="000000"/>
                <w:sz w:val="20"/>
                <w:szCs w:val="20"/>
              </w:rPr>
              <w:t xml:space="preserve">Role</w:t>
            </w:r>
          </w:p>
        </w:tc>
        <w:tc>
          <w:tcPr>
            <w:tcW w:type="dxa" w:w="1988"/>
            <w:tcBorders>
              <w:top w:val="single" w:color="000000" w:sz="4"/>
              <w:left w:val="single" w:color="000000" w:sz="4"/>
              <w:bottom w:val="single" w:color="000000" w:sz="4"/>
              <w:right w:val="single" w:color="000000" w:sz="4"/>
            </w:tcBorders>
            <w:shd w:fill="D9D9D9" w:color="auto" w:val="clear"/>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bCs/>
                <w:i w:val="false"/>
                <w:iCs w:val="false"/>
                <w:color w:val="000000"/>
                <w:sz w:val="20"/>
                <w:szCs w:val="20"/>
              </w:rPr>
              <w:t xml:space="preserve">Name</w:t>
            </w:r>
          </w:p>
        </w:tc>
        <w:tc>
          <w:tcPr>
            <w:tcW w:type="dxa" w:w="2187"/>
            <w:tcBorders>
              <w:top w:val="single" w:color="000000" w:sz="4"/>
              <w:left w:val="single" w:color="000000" w:sz="4"/>
              <w:bottom w:val="single" w:color="000000" w:sz="4"/>
              <w:right w:val="single" w:color="000000" w:sz="4"/>
            </w:tcBorders>
            <w:shd w:fill="D9D9D9" w:color="auto" w:val="clear"/>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bCs/>
                <w:i w:val="false"/>
                <w:iCs w:val="false"/>
                <w:color w:val="000000"/>
                <w:sz w:val="20"/>
                <w:szCs w:val="20"/>
              </w:rPr>
              <w:t xml:space="preserve">Signature</w:t>
            </w:r>
          </w:p>
        </w:tc>
        <w:tc>
          <w:tcPr>
            <w:tcW w:type="dxa" w:w="1392"/>
            <w:tcBorders>
              <w:top w:val="single" w:color="000000" w:sz="4"/>
              <w:left w:val="single" w:color="000000" w:sz="4"/>
              <w:bottom w:val="single" w:color="000000" w:sz="4"/>
              <w:right w:val="single" w:color="000000" w:sz="4"/>
            </w:tcBorders>
            <w:shd w:fill="D9D9D9" w:color="auto" w:val="clear"/>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bCs/>
                <w:i w:val="false"/>
                <w:iCs w:val="false"/>
                <w:color w:val="000000"/>
                <w:sz w:val="20"/>
                <w:szCs w:val="20"/>
              </w:rPr>
              <w:t xml:space="preserve">Date</w:t>
            </w:r>
          </w:p>
        </w:tc>
      </w:tr>
      <w:tr>
        <w:tc>
          <w:tcPr>
            <w:tcW w:type="dxa" w:w="4176"/>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Prepared by, Software Engineering Intern</w:t>
            </w:r>
          </w:p>
        </w:tc>
        <w:tc>
          <w:tcPr>
            <w:tcW w:type="dxa" w:w="1988"/>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2187"/>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1392"/>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4176"/>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Reviewed by, KMC ICT</w:t>
            </w:r>
          </w:p>
        </w:tc>
        <w:tc>
          <w:tcPr>
            <w:tcW w:type="dxa" w:w="1988"/>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2187"/>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1392"/>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4176"/>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Compensating controls accepted by, Data Protection Owner</w:t>
            </w:r>
          </w:p>
        </w:tc>
        <w:tc>
          <w:tcPr>
            <w:tcW w:type="dxa" w:w="1988"/>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2187"/>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1392"/>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4176"/>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Approved by, Head of Department, Quality, Health, Safety and Environment</w:t>
            </w:r>
          </w:p>
        </w:tc>
        <w:tc>
          <w:tcPr>
            <w:tcW w:type="dxa" w:w="1988"/>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2187"/>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1392"/>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
            </w:r>
          </w:p>
        </w:tc>
      </w:tr>
    </w:tbl>
    <w:sectPr>
      <w:footerReference w:type="default" r:id="rId7"/>
      <w:footerReference w:type="first" r:id="rId8"/>
      <w:pgSz w:w="11906" w:h="16838" w:orient="portrait"/>
      <w:pgMar w:top="1440" w:right="1080" w:bottom="1440" w:left="108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000000"/>
        <w:sz w:val="24"/>
        <w:szCs w:val="24"/>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rFonts w:ascii="Times New Roman" w:cs="Times New Roman" w:eastAsia="Times New Roman" w:hAnsi="Times New Roman"/>
        <w:b w:val="false"/>
        <w:bCs w:val="false"/>
        <w:i w:val="false"/>
        <w:iCs w:val="false"/>
        <w:color w:val="000000"/>
        <w:sz w:val="24"/>
        <w:szCs w:val="24"/>
      </w:rP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suff w:val="space"/>
      <w:lvlText w:val="%1"/>
      <w:lvlJc w:val="left"/>
      <w:pPr>
        <w:ind w:left="0" w:hanging="0"/>
      </w:pPr>
    </w:lvl>
    <w:lvl w:ilvl="1" w15:tentative="1">
      <w:start w:val="1"/>
      <w:numFmt w:val="decimal"/>
      <w:suff w:val="space"/>
      <w:lvlText w:val="%1.%2"/>
      <w:lvlJc w:val="left"/>
      <w:pPr>
        <w:ind w:left="0" w:hanging="0"/>
      </w:pPr>
    </w:lvl>
    <w:lvl w:ilvl="2" w15:tentative="1">
      <w:start w:val="1"/>
      <w:numFmt w:val="decimal"/>
      <w:suff w:val="space"/>
      <w:lvlText w:val="%1.%2.%3"/>
      <w:lvlJc w:val="left"/>
      <w:pPr>
        <w:ind w:left="0" w:hanging="0"/>
      </w:pPr>
    </w:lvl>
  </w:abstractNum>
  <w:abstractNum w:abstractNumId="3" w15:restartNumberingAfterBreak="0">
    <w:multiLevelType w:val="hybridMultilevel"/>
    <w:lvl w:ilvl="0" w15:tentative="1">
      <w:start w:val="1"/>
      <w:numFmt w:val="bullet"/>
      <w:lvlText w:val="•"/>
      <w:lvlJc w:val="left"/>
      <w:pPr>
        <w:ind w:left="360" w:hanging="2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4"/>
        <w:szCs w:val="24"/>
      </w:rPr>
    </w:rPrDefault>
    <w:pPrDefault>
      <w:pPr>
        <w:spacing w:after="160" w:line="276" w:lineRule="auto"/>
        <w:ind w:left="0" w:right="0" w:firstLine="0"/>
        <w:jc w:val="both"/>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ind w:left="0"/>
    </w:pPr>
    <w:rPr>
      <w:rFonts w:ascii="Times New Roman" w:cs="Times New Roman" w:eastAsia="Times New Roman" w:hAnsi="Times New Roman"/>
      <w:b/>
      <w:bCs/>
      <w:color w:val="000000"/>
      <w:sz w:val="24"/>
      <w:szCs w:val="24"/>
    </w:rPr>
  </w:style>
  <w:style w:type="paragraph" w:styleId="Heading2">
    <w:name w:val="Heading 2"/>
    <w:basedOn w:val="Normal"/>
    <w:next w:val="Normal"/>
    <w:qFormat/>
    <w:pPr>
      <w:ind w:left="0"/>
    </w:pPr>
    <w:rPr>
      <w:rFonts w:ascii="Times New Roman" w:cs="Times New Roman" w:eastAsia="Times New Roman" w:hAnsi="Times New Roman"/>
      <w:b/>
      <w:bCs/>
      <w:color w:val="000000"/>
      <w:sz w:val="24"/>
      <w:szCs w:val="24"/>
    </w:rPr>
  </w:style>
  <w:style w:type="paragraph" w:styleId="Heading3">
    <w:name w:val="Heading 3"/>
    <w:basedOn w:val="Normal"/>
    <w:next w:val="Normal"/>
    <w:qFormat/>
    <w:pPr>
      <w:ind w:left="0"/>
    </w:pPr>
    <w:rPr>
      <w:rFonts w:ascii="Times New Roman" w:cs="Times New Roman" w:eastAsia="Times New Roman" w:hAnsi="Times New Roman"/>
      <w:b/>
      <w:bCs/>
      <w:color w:val="000000"/>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rFonts w:ascii="Times New Roman" w:cs="Times New Roman" w:eastAsia="Times New Roman" w:hAnsi="Times New Roman"/>
      <w:color w:val="000000"/>
      <w:sz w:val="24"/>
      <w:szCs w:val="24"/>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ableCaption">
    <w:name w:val="Table Caption"/>
    <w:basedOn w:val="Normal"/>
    <w:next w:val="Normal"/>
    <w:qFormat/>
    <w:pPr>
      <w:spacing w:after="120" w:before="120"/>
      <w:ind w:left="0" w:right="0" w:firstLine="0"/>
      <w:jc w:val="left"/>
    </w:pPr>
    <w:rPr>
      <w:rFonts w:ascii="Times New Roman" w:cs="Times New Roman" w:eastAsia="Times New Roman" w:hAnsi="Times New Roman"/>
      <w:i/>
      <w:iCs/>
      <w:color w:val="000000"/>
      <w:sz w:val="18"/>
      <w:szCs w:val="18"/>
    </w:rPr>
  </w:style>
  <w:style w:type="paragraph" w:styleId="FigureCaption">
    <w:name w:val="Figure Caption"/>
    <w:basedOn w:val="Normal"/>
    <w:next w:val="Normal"/>
    <w:qFormat/>
    <w:pPr>
      <w:spacing w:after="120" w:before="120"/>
      <w:ind w:left="0" w:right="0" w:firstLine="0"/>
      <w:jc w:val="left"/>
    </w:pPr>
    <w:rPr>
      <w:rFonts w:ascii="Times New Roman" w:cs="Times New Roman" w:eastAsia="Times New Roman" w:hAnsi="Times New Roman"/>
      <w:i/>
      <w:iCs/>
      <w:color w:val="000000"/>
      <w:sz w:val="18"/>
      <w:szCs w:val="1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image" Target="media/5c0048e2b0ed9c12922e26d2252152f8b66c7989.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Information security review</dc:title>
  <dc:creator>Akanga Andrew, Software Engineering Intern, Department of Quality, Health, Safety and Environment</dc:creator>
  <dc:description>Security assessment of the Health and Wellness Management System covering identity, clinical confidentiality, data protection, audit and the remediation required before user testing</dc:description>
  <cp:lastModifiedBy>Un-named</cp:lastModifiedBy>
  <cp:revision>1</cp:revision>
  <dcterms:created xsi:type="dcterms:W3CDTF">2026-08-21T19:48:18.527Z</dcterms:created>
  <dcterms:modified xsi:type="dcterms:W3CDTF">2026-08-21T19:48:18.527Z</dcterms:modified>
</cp:coreProperties>
</file>

<file path=docProps/custom.xml><?xml version="1.0" encoding="utf-8"?>
<Properties xmlns="http://schemas.openxmlformats.org/officeDocument/2006/custom-properties" xmlns:vt="http://schemas.openxmlformats.org/officeDocument/2006/docPropsVTypes"/>
</file>