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Times New Roman" w:cs="Times New Roman" w:eastAsia="Times New Roman" w:hAnsi="Times New Roman"/>
          <w:b/>
          <w:bCs/>
          <w:i w:val="false"/>
          <w:iCs w:val="false"/>
          <w:color w:val="000000"/>
          <w:sz w:val="24"/>
          <w:szCs w:val="24"/>
        </w:rPr>
        <w:t xml:space="preserve">KIIRA MOTORS CORPORATION</w:t>
      </w:r>
    </w:p>
    <w:p>
      <w:pPr>
        <w:spacing w:after="700"/>
        <w:jc w:val="center"/>
      </w:pPr>
      <w:r>
        <w:rPr>
          <w:rFonts w:ascii="Times New Roman" w:cs="Times New Roman" w:eastAsia="Times New Roman" w:hAnsi="Times New Roman"/>
          <w:b/>
          <w:bCs/>
          <w:i w:val="false"/>
          <w:iCs w:val="false"/>
          <w:color w:val="000000"/>
          <w:sz w:val="24"/>
          <w:szCs w:val="24"/>
        </w:rPr>
        <w:t xml:space="preserve">HEALTH AND WELLNESS MANAGEMENT SYSTEM</w:t>
      </w:r>
    </w:p>
    <w:p>
      <w:pPr>
        <w:spacing w:after="900"/>
        <w:jc w:val="center"/>
      </w:pPr>
      <w:r>
        <w:rPr>
          <w:rFonts w:ascii="Times New Roman" w:cs="Times New Roman" w:eastAsia="Times New Roman" w:hAnsi="Times New Roman"/>
          <w:b/>
          <w:bCs/>
          <w:i w:val="false"/>
          <w:iCs w:val="false"/>
          <w:color w:val="000000"/>
          <w:sz w:val="24"/>
          <w:szCs w:val="24"/>
        </w:rPr>
        <w:t xml:space="preserve">SOFTWARE REQUIREMENTS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name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Software requirements specification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Reference number</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KMC.DQHSE.08/26-SP001</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description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Requirements for the Health and Wellness Management System covering the patient registry, clinic visits, laboratory requisitions, medical referrals and divisional performance reporting</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Akanga Andrew, Software Engineering Intern, Department of Quality, Health, Safety and Environment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date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21/08/2026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004</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Classification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Internal, Restricted to KMC Health and Wellness Division and ICT</w:t>
            </w:r>
          </w:p>
        </w:tc>
      </w:tr>
    </w:tbl>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Table of Contents</w:t>
      </w:r>
    </w:p>
    <w:p>
      <w:pPr>
        <w:tabs>
          <w:tab w:val="right" w:pos="9746" w:leader="dot"/>
        </w:tabs>
        <w:spacing w:after="60" w:line="260" w:lineRule="auto"/>
        <w:ind w:left="0" w:right="0" w:firstLine="0"/>
        <w:jc w:val="left"/>
      </w:pPr>
      <w:hyperlink w:history="1" w:anchor="h_1">
        <w:r>
          <w:rPr>
            <w:rFonts w:ascii="Times New Roman" w:cs="Times New Roman" w:eastAsia="Times New Roman" w:hAnsi="Times New Roman"/>
            <w:b w:val="false"/>
            <w:bCs w:val="false"/>
            <w:i w:val="false"/>
            <w:iCs w:val="false"/>
            <w:color w:val="000000"/>
            <w:sz w:val="24"/>
            <w:szCs w:val="24"/>
          </w:rPr>
          <w:t xml:space="preserve">1 Introduction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2">
        <w:r>
          <w:rPr>
            <w:rFonts w:ascii="Times New Roman" w:cs="Times New Roman" w:eastAsia="Times New Roman" w:hAnsi="Times New Roman"/>
            <w:b w:val="false"/>
            <w:bCs w:val="false"/>
            <w:i w:val="false"/>
            <w:iCs w:val="false"/>
            <w:color w:val="000000"/>
            <w:sz w:val="24"/>
            <w:szCs w:val="24"/>
          </w:rPr>
          <w:t xml:space="preserve">1.1 Purpose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3">
        <w:r>
          <w:rPr>
            <w:rFonts w:ascii="Times New Roman" w:cs="Times New Roman" w:eastAsia="Times New Roman" w:hAnsi="Times New Roman"/>
            <w:b w:val="false"/>
            <w:bCs w:val="false"/>
            <w:i w:val="false"/>
            <w:iCs w:val="false"/>
            <w:color w:val="000000"/>
            <w:sz w:val="24"/>
            <w:szCs w:val="24"/>
          </w:rPr>
          <w:t xml:space="preserve">1.2 Scope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4">
        <w:r>
          <w:rPr>
            <w:rFonts w:ascii="Times New Roman" w:cs="Times New Roman" w:eastAsia="Times New Roman" w:hAnsi="Times New Roman"/>
            <w:b w:val="false"/>
            <w:bCs w:val="false"/>
            <w:i w:val="false"/>
            <w:iCs w:val="false"/>
            <w:color w:val="000000"/>
            <w:sz w:val="24"/>
            <w:szCs w:val="24"/>
          </w:rPr>
          <w:t xml:space="preserve">1.3 Definitions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5">
        <w:r>
          <w:rPr>
            <w:rFonts w:ascii="Times New Roman" w:cs="Times New Roman" w:eastAsia="Times New Roman" w:hAnsi="Times New Roman"/>
            <w:b w:val="false"/>
            <w:bCs w:val="false"/>
            <w:i w:val="false"/>
            <w:iCs w:val="false"/>
            <w:color w:val="000000"/>
            <w:sz w:val="24"/>
            <w:szCs w:val="24"/>
          </w:rPr>
          <w:t xml:space="preserve">1.4 Sources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h_6">
        <w:r>
          <w:rPr>
            <w:rFonts w:ascii="Times New Roman" w:cs="Times New Roman" w:eastAsia="Times New Roman" w:hAnsi="Times New Roman"/>
            <w:b w:val="false"/>
            <w:bCs w:val="false"/>
            <w:i w:val="false"/>
            <w:iCs w:val="false"/>
            <w:color w:val="000000"/>
            <w:sz w:val="24"/>
            <w:szCs w:val="24"/>
          </w:rPr>
          <w:t xml:space="preserve">2 Users and access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7">
        <w:r>
          <w:rPr>
            <w:rFonts w:ascii="Times New Roman" w:cs="Times New Roman" w:eastAsia="Times New Roman" w:hAnsi="Times New Roman"/>
            <w:b w:val="false"/>
            <w:bCs w:val="false"/>
            <w:i w:val="false"/>
            <w:iCs w:val="false"/>
            <w:color w:val="000000"/>
            <w:sz w:val="24"/>
            <w:szCs w:val="24"/>
          </w:rPr>
          <w:t xml:space="preserve">2.1 User roles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8">
        <w:r>
          <w:rPr>
            <w:rFonts w:ascii="Times New Roman" w:cs="Times New Roman" w:eastAsia="Times New Roman" w:hAnsi="Times New Roman"/>
            <w:b w:val="false"/>
            <w:bCs w:val="false"/>
            <w:i w:val="false"/>
            <w:iCs w:val="false"/>
            <w:color w:val="000000"/>
            <w:sz w:val="24"/>
            <w:szCs w:val="24"/>
          </w:rPr>
          <w:t xml:space="preserve">2.2 The clinical access rule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h_9">
        <w:r>
          <w:rPr>
            <w:rFonts w:ascii="Times New Roman" w:cs="Times New Roman" w:eastAsia="Times New Roman" w:hAnsi="Times New Roman"/>
            <w:b w:val="false"/>
            <w:bCs w:val="false"/>
            <w:i w:val="false"/>
            <w:iCs w:val="false"/>
            <w:color w:val="000000"/>
            <w:sz w:val="24"/>
            <w:szCs w:val="24"/>
          </w:rPr>
          <w:t xml:space="preserve">3 Patient registry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h_10">
        <w:r>
          <w:rPr>
            <w:rFonts w:ascii="Times New Roman" w:cs="Times New Roman" w:eastAsia="Times New Roman" w:hAnsi="Times New Roman"/>
            <w:b w:val="false"/>
            <w:bCs w:val="false"/>
            <w:i w:val="false"/>
            <w:iCs w:val="false"/>
            <w:color w:val="000000"/>
            <w:sz w:val="24"/>
            <w:szCs w:val="24"/>
          </w:rPr>
          <w:t xml:space="preserve">4 Clinic visits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1">
        <w:r>
          <w:rPr>
            <w:rFonts w:ascii="Times New Roman" w:cs="Times New Roman" w:eastAsia="Times New Roman" w:hAnsi="Times New Roman"/>
            <w:b w:val="false"/>
            <w:bCs w:val="false"/>
            <w:i w:val="false"/>
            <w:iCs w:val="false"/>
            <w:color w:val="000000"/>
            <w:sz w:val="24"/>
            <w:szCs w:val="24"/>
          </w:rPr>
          <w:t xml:space="preserve">4.1 Structure of the record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2">
        <w:r>
          <w:rPr>
            <w:rFonts w:ascii="Times New Roman" w:cs="Times New Roman" w:eastAsia="Times New Roman" w:hAnsi="Times New Roman"/>
            <w:b w:val="false"/>
            <w:bCs w:val="false"/>
            <w:i w:val="false"/>
            <w:iCs w:val="false"/>
            <w:color w:val="000000"/>
            <w:sz w:val="24"/>
            <w:szCs w:val="24"/>
          </w:rPr>
          <w:t xml:space="preserve">4.2 Visit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h_13">
        <w:r>
          <w:rPr>
            <w:rFonts w:ascii="Times New Roman" w:cs="Times New Roman" w:eastAsia="Times New Roman" w:hAnsi="Times New Roman"/>
            <w:b w:val="false"/>
            <w:bCs w:val="false"/>
            <w:i w:val="false"/>
            <w:iCs w:val="false"/>
            <w:color w:val="000000"/>
            <w:sz w:val="24"/>
            <w:szCs w:val="24"/>
          </w:rPr>
          <w:t xml:space="preserve">5 Laboratory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0" w:right="0" w:firstLine="0"/>
        <w:jc w:val="left"/>
      </w:pPr>
      <w:hyperlink w:history="1" w:anchor="h_14">
        <w:r>
          <w:rPr>
            <w:rFonts w:ascii="Times New Roman" w:cs="Times New Roman" w:eastAsia="Times New Roman" w:hAnsi="Times New Roman"/>
            <w:b w:val="false"/>
            <w:bCs w:val="false"/>
            <w:i w:val="false"/>
            <w:iCs w:val="false"/>
            <w:color w:val="000000"/>
            <w:sz w:val="24"/>
            <w:szCs w:val="24"/>
          </w:rPr>
          <w:t xml:space="preserve">6 Referrals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0" w:right="0" w:firstLine="0"/>
        <w:jc w:val="left"/>
      </w:pPr>
      <w:hyperlink w:history="1" w:anchor="h_15">
        <w:r>
          <w:rPr>
            <w:rFonts w:ascii="Times New Roman" w:cs="Times New Roman" w:eastAsia="Times New Roman" w:hAnsi="Times New Roman"/>
            <w:b w:val="false"/>
            <w:bCs w:val="false"/>
            <w:i w:val="false"/>
            <w:iCs w:val="false"/>
            <w:color w:val="000000"/>
            <w:sz w:val="24"/>
            <w:szCs w:val="24"/>
          </w:rPr>
          <w:t xml:space="preserve">7 Patient history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0" w:right="0" w:firstLine="0"/>
        <w:jc w:val="left"/>
      </w:pPr>
      <w:hyperlink w:history="1" w:anchor="h_16">
        <w:r>
          <w:rPr>
            <w:rFonts w:ascii="Times New Roman" w:cs="Times New Roman" w:eastAsia="Times New Roman" w:hAnsi="Times New Roman"/>
            <w:b w:val="false"/>
            <w:bCs w:val="false"/>
            <w:i w:val="false"/>
            <w:iCs w:val="false"/>
            <w:color w:val="000000"/>
            <w:sz w:val="24"/>
            <w:szCs w:val="24"/>
          </w:rPr>
          <w:t xml:space="preserve">8 Divisional performance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280" w:right="0" w:firstLine="0"/>
        <w:jc w:val="left"/>
      </w:pPr>
      <w:hyperlink w:history="1" w:anchor="h_17">
        <w:r>
          <w:rPr>
            <w:rFonts w:ascii="Times New Roman" w:cs="Times New Roman" w:eastAsia="Times New Roman" w:hAnsi="Times New Roman"/>
            <w:b w:val="false"/>
            <w:bCs w:val="false"/>
            <w:i w:val="false"/>
            <w:iCs w:val="false"/>
            <w:color w:val="000000"/>
            <w:sz w:val="24"/>
            <w:szCs w:val="24"/>
          </w:rPr>
          <w:t xml:space="preserve">8.1 Effective-dated reference data</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280" w:right="0" w:firstLine="0"/>
        <w:jc w:val="left"/>
      </w:pPr>
      <w:hyperlink w:history="1" w:anchor="h_18">
        <w:r>
          <w:rPr>
            <w:rFonts w:ascii="Times New Roman" w:cs="Times New Roman" w:eastAsia="Times New Roman" w:hAnsi="Times New Roman"/>
            <w:b w:val="false"/>
            <w:bCs w:val="false"/>
            <w:i w:val="false"/>
            <w:iCs w:val="false"/>
            <w:color w:val="000000"/>
            <w:sz w:val="24"/>
            <w:szCs w:val="24"/>
          </w:rPr>
          <w:t xml:space="preserve">8.2 Ergonomics and wellness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12</w:t>
        </w:r>
      </w:hyperlink>
    </w:p>
    <w:p>
      <w:pPr>
        <w:tabs>
          <w:tab w:val="right" w:pos="9746" w:leader="dot"/>
        </w:tabs>
        <w:spacing w:after="60" w:line="260" w:lineRule="auto"/>
        <w:ind w:left="280" w:right="0" w:firstLine="0"/>
        <w:jc w:val="left"/>
      </w:pPr>
      <w:hyperlink w:history="1" w:anchor="h_19">
        <w:r>
          <w:rPr>
            <w:rFonts w:ascii="Times New Roman" w:cs="Times New Roman" w:eastAsia="Times New Roman" w:hAnsi="Times New Roman"/>
            <w:b w:val="false"/>
            <w:bCs w:val="false"/>
            <w:i w:val="false"/>
            <w:iCs w:val="false"/>
            <w:color w:val="000000"/>
            <w:sz w:val="24"/>
            <w:szCs w:val="24"/>
          </w:rPr>
          <w:t xml:space="preserve">8.3 Industrial hygiene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12</w:t>
        </w:r>
      </w:hyperlink>
    </w:p>
    <w:p>
      <w:pPr>
        <w:tabs>
          <w:tab w:val="right" w:pos="9746" w:leader="dot"/>
        </w:tabs>
        <w:spacing w:after="60" w:line="260" w:lineRule="auto"/>
        <w:ind w:left="280" w:right="0" w:firstLine="0"/>
        <w:jc w:val="left"/>
      </w:pPr>
      <w:hyperlink w:history="1" w:anchor="h_20">
        <w:r>
          <w:rPr>
            <w:rFonts w:ascii="Times New Roman" w:cs="Times New Roman" w:eastAsia="Times New Roman" w:hAnsi="Times New Roman"/>
            <w:b w:val="false"/>
            <w:bCs w:val="false"/>
            <w:i w:val="false"/>
            <w:iCs w:val="false"/>
            <w:color w:val="000000"/>
            <w:sz w:val="24"/>
            <w:szCs w:val="24"/>
          </w:rPr>
          <w:t xml:space="preserve">8.4 Monthly returns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13</w:t>
        </w:r>
      </w:hyperlink>
    </w:p>
    <w:p>
      <w:pPr>
        <w:tabs>
          <w:tab w:val="right" w:pos="9746" w:leader="dot"/>
        </w:tabs>
        <w:spacing w:after="60" w:line="260" w:lineRule="auto"/>
        <w:ind w:left="280" w:right="0" w:firstLine="0"/>
        <w:jc w:val="left"/>
      </w:pPr>
      <w:hyperlink w:history="1" w:anchor="h_21">
        <w:r>
          <w:rPr>
            <w:rFonts w:ascii="Times New Roman" w:cs="Times New Roman" w:eastAsia="Times New Roman" w:hAnsi="Times New Roman"/>
            <w:b w:val="false"/>
            <w:bCs w:val="false"/>
            <w:i w:val="false"/>
            <w:iCs w:val="false"/>
            <w:color w:val="000000"/>
            <w:sz w:val="24"/>
            <w:szCs w:val="24"/>
          </w:rPr>
          <w:t xml:space="preserve">8.5 KPI dashboard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13</w:t>
        </w:r>
      </w:hyperlink>
    </w:p>
    <w:p>
      <w:pPr>
        <w:tabs>
          <w:tab w:val="right" w:pos="9746" w:leader="dot"/>
        </w:tabs>
        <w:spacing w:after="60" w:line="260" w:lineRule="auto"/>
        <w:ind w:left="0" w:right="0" w:firstLine="0"/>
        <w:jc w:val="left"/>
      </w:pPr>
      <w:hyperlink w:history="1" w:anchor="h_22">
        <w:r>
          <w:rPr>
            <w:rFonts w:ascii="Times New Roman" w:cs="Times New Roman" w:eastAsia="Times New Roman" w:hAnsi="Times New Roman"/>
            <w:b w:val="false"/>
            <w:bCs w:val="false"/>
            <w:i w:val="false"/>
            <w:iCs w:val="false"/>
            <w:color w:val="000000"/>
            <w:sz w:val="24"/>
            <w:szCs w:val="24"/>
          </w:rPr>
          <w:t xml:space="preserve">9 Non-functional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14</w:t>
        </w:r>
      </w:hyperlink>
    </w:p>
    <w:p>
      <w:pPr>
        <w:tabs>
          <w:tab w:val="right" w:pos="9746" w:leader="dot"/>
        </w:tabs>
        <w:spacing w:after="60" w:line="260" w:lineRule="auto"/>
        <w:ind w:left="0" w:right="0" w:firstLine="0"/>
        <w:jc w:val="left"/>
      </w:pPr>
      <w:hyperlink w:history="1" w:anchor="h_23">
        <w:r>
          <w:rPr>
            <w:rFonts w:ascii="Times New Roman" w:cs="Times New Roman" w:eastAsia="Times New Roman" w:hAnsi="Times New Roman"/>
            <w:b w:val="false"/>
            <w:bCs w:val="false"/>
            <w:i w:val="false"/>
            <w:iCs w:val="false"/>
            <w:color w:val="000000"/>
            <w:sz w:val="24"/>
            <w:szCs w:val="24"/>
          </w:rPr>
          <w:t xml:space="preserve">10 Decisions required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15</w:t>
        </w:r>
      </w:hyperlink>
    </w:p>
    <w:p>
      <w:pPr>
        <w:tabs>
          <w:tab w:val="right" w:pos="9746" w:leader="dot"/>
        </w:tabs>
        <w:spacing w:after="60" w:line="260" w:lineRule="auto"/>
        <w:ind w:left="280" w:right="0" w:firstLine="0"/>
        <w:jc w:val="left"/>
      </w:pPr>
      <w:hyperlink w:history="1" w:anchor="h_24">
        <w:r>
          <w:rPr>
            <w:rFonts w:ascii="Times New Roman" w:cs="Times New Roman" w:eastAsia="Times New Roman" w:hAnsi="Times New Roman"/>
            <w:b w:val="false"/>
            <w:bCs w:val="false"/>
            <w:i w:val="false"/>
            <w:iCs w:val="false"/>
            <w:color w:val="000000"/>
            <w:sz w:val="24"/>
            <w:szCs w:val="24"/>
          </w:rPr>
          <w:t xml:space="preserve">10.1 Approval</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16</w:t>
        </w:r>
      </w:hyperlink>
    </w:p>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List of Figures</w:t>
      </w:r>
    </w:p>
    <w:p>
      <w:pPr>
        <w:tabs>
          <w:tab w:val="right" w:pos="9746" w:leader="dot"/>
        </w:tabs>
        <w:spacing w:after="60" w:line="260" w:lineRule="auto"/>
        <w:ind w:left="0" w:right="0" w:firstLine="0"/>
        <w:jc w:val="left"/>
      </w:pPr>
      <w:hyperlink w:history="1" w:anchor="fig_2_1">
        <w:r>
          <w:rPr>
            <w:rFonts w:ascii="Times New Roman" w:cs="Times New Roman" w:eastAsia="Times New Roman" w:hAnsi="Times New Roman"/>
            <w:b w:val="false"/>
            <w:bCs w:val="false"/>
            <w:i w:val="false"/>
            <w:iCs w:val="false"/>
            <w:color w:val="000000"/>
            <w:sz w:val="24"/>
            <w:szCs w:val="24"/>
          </w:rPr>
          <w:t xml:space="preserve">Figure 2.1: Where the clinical access rule is enforced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fig_7_1">
        <w:r>
          <w:rPr>
            <w:rFonts w:ascii="Times New Roman" w:cs="Times New Roman" w:eastAsia="Times New Roman" w:hAnsi="Times New Roman"/>
            <w:b w:val="false"/>
            <w:bCs w:val="false"/>
            <w:i w:val="false"/>
            <w:iCs w:val="false"/>
            <w:color w:val="000000"/>
            <w:sz w:val="24"/>
            <w:szCs w:val="24"/>
          </w:rPr>
          <w:t xml:space="preserve">Figure 7.1: Organisation of the patient record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r>
        <w:rPr>
          <w:rFonts w:ascii="Times New Roman" w:cs="Times New Roman" w:eastAsia="Times New Roman" w:hAnsi="Times New Roman"/>
          <w:b w:val="false"/>
          <w:bCs w:val="false"/>
          <w:i w:val="false"/>
          <w:iCs w:val="false"/>
          <w:color w:val="000000"/>
          <w:sz w:val="24"/>
          <w:szCs w:val="24"/>
        </w:rPr>
        <w:t xml:space="preserve"/>
      </w:r>
    </w:p>
    <w:p>
      <w:pPr>
        <w:spacing w:after="200" w:before="240"/>
        <w:jc w:val="left"/>
      </w:pPr>
      <w:r>
        <w:rPr>
          <w:rFonts w:ascii="Times New Roman" w:cs="Times New Roman" w:eastAsia="Times New Roman" w:hAnsi="Times New Roman"/>
          <w:b/>
          <w:bCs/>
          <w:i w:val="false"/>
          <w:iCs w:val="false"/>
          <w:color w:val="000000"/>
          <w:sz w:val="24"/>
          <w:szCs w:val="24"/>
        </w:rPr>
        <w:t xml:space="preserve">List of Tables</w:t>
      </w:r>
    </w:p>
    <w:p>
      <w:pPr>
        <w:tabs>
          <w:tab w:val="right" w:pos="9746" w:leader="dot"/>
        </w:tabs>
        <w:spacing w:after="60" w:line="260" w:lineRule="auto"/>
        <w:ind w:left="0" w:right="0" w:firstLine="0"/>
        <w:jc w:val="left"/>
      </w:pPr>
      <w:hyperlink w:history="1" w:anchor="tbl_1_1">
        <w:r>
          <w:rPr>
            <w:rFonts w:ascii="Times New Roman" w:cs="Times New Roman" w:eastAsia="Times New Roman" w:hAnsi="Times New Roman"/>
            <w:b w:val="false"/>
            <w:bCs w:val="false"/>
            <w:i w:val="false"/>
            <w:iCs w:val="false"/>
            <w:color w:val="000000"/>
            <w:sz w:val="24"/>
            <w:szCs w:val="24"/>
          </w:rPr>
          <w:t xml:space="preserve">Table 1.1: Terms used in this specification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0" w:right="0" w:firstLine="0"/>
        <w:jc w:val="left"/>
      </w:pPr>
      <w:hyperlink w:history="1" w:anchor="tbl_1_2">
        <w:r>
          <w:rPr>
            <w:rFonts w:ascii="Times New Roman" w:cs="Times New Roman" w:eastAsia="Times New Roman" w:hAnsi="Times New Roman"/>
            <w:b w:val="false"/>
            <w:bCs w:val="false"/>
            <w:i w:val="false"/>
            <w:iCs w:val="false"/>
            <w:color w:val="000000"/>
            <w:sz w:val="24"/>
            <w:szCs w:val="24"/>
          </w:rPr>
          <w:t xml:space="preserve">Table 1.2: Source documents and their status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tbl_2_1">
        <w:r>
          <w:rPr>
            <w:rFonts w:ascii="Times New Roman" w:cs="Times New Roman" w:eastAsia="Times New Roman" w:hAnsi="Times New Roman"/>
            <w:b w:val="false"/>
            <w:bCs w:val="false"/>
            <w:i w:val="false"/>
            <w:iCs w:val="false"/>
            <w:color w:val="000000"/>
            <w:sz w:val="24"/>
            <w:szCs w:val="24"/>
          </w:rPr>
          <w:t xml:space="preserve">Table 2.1: Roles and what each may do</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tbl_2_2">
        <w:r>
          <w:rPr>
            <w:rFonts w:ascii="Times New Roman" w:cs="Times New Roman" w:eastAsia="Times New Roman" w:hAnsi="Times New Roman"/>
            <w:b w:val="false"/>
            <w:bCs w:val="false"/>
            <w:i w:val="false"/>
            <w:iCs w:val="false"/>
            <w:color w:val="000000"/>
            <w:sz w:val="24"/>
            <w:szCs w:val="24"/>
          </w:rPr>
          <w:t xml:space="preserve">Table 2.2: Access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tbl_3_1">
        <w:r>
          <w:rPr>
            <w:rFonts w:ascii="Times New Roman" w:cs="Times New Roman" w:eastAsia="Times New Roman" w:hAnsi="Times New Roman"/>
            <w:b w:val="false"/>
            <w:bCs w:val="false"/>
            <w:i w:val="false"/>
            <w:iCs w:val="false"/>
            <w:color w:val="000000"/>
            <w:sz w:val="24"/>
            <w:szCs w:val="24"/>
          </w:rPr>
          <w:t xml:space="preserve">Table 3.1: Patient registry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tbl_4_1">
        <w:r>
          <w:rPr>
            <w:rFonts w:ascii="Times New Roman" w:cs="Times New Roman" w:eastAsia="Times New Roman" w:hAnsi="Times New Roman"/>
            <w:b w:val="false"/>
            <w:bCs w:val="false"/>
            <w:i w:val="false"/>
            <w:iCs w:val="false"/>
            <w:color w:val="000000"/>
            <w:sz w:val="24"/>
            <w:szCs w:val="24"/>
          </w:rPr>
          <w:t xml:space="preserve">Table 4.1: Section states and what each means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tbl_4_2">
        <w:r>
          <w:rPr>
            <w:rFonts w:ascii="Times New Roman" w:cs="Times New Roman" w:eastAsia="Times New Roman" w:hAnsi="Times New Roman"/>
            <w:b w:val="false"/>
            <w:bCs w:val="false"/>
            <w:i w:val="false"/>
            <w:iCs w:val="false"/>
            <w:color w:val="000000"/>
            <w:sz w:val="24"/>
            <w:szCs w:val="24"/>
          </w:rPr>
          <w:t xml:space="preserve">Table 4.2: Clinic visit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tbl_5_1">
        <w:r>
          <w:rPr>
            <w:rFonts w:ascii="Times New Roman" w:cs="Times New Roman" w:eastAsia="Times New Roman" w:hAnsi="Times New Roman"/>
            <w:b w:val="false"/>
            <w:bCs w:val="false"/>
            <w:i w:val="false"/>
            <w:iCs w:val="false"/>
            <w:color w:val="000000"/>
            <w:sz w:val="24"/>
            <w:szCs w:val="24"/>
          </w:rPr>
          <w:t xml:space="preserve">Table 5.1: Investigations offered on the requisition form</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0" w:right="0" w:firstLine="0"/>
        <w:jc w:val="left"/>
      </w:pPr>
      <w:hyperlink w:history="1" w:anchor="tbl_5_2">
        <w:r>
          <w:rPr>
            <w:rFonts w:ascii="Times New Roman" w:cs="Times New Roman" w:eastAsia="Times New Roman" w:hAnsi="Times New Roman"/>
            <w:b w:val="false"/>
            <w:bCs w:val="false"/>
            <w:i w:val="false"/>
            <w:iCs w:val="false"/>
            <w:color w:val="000000"/>
            <w:sz w:val="24"/>
            <w:szCs w:val="24"/>
          </w:rPr>
          <w:t xml:space="preserve">Table 5.2: Laboratory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0" w:right="0" w:firstLine="0"/>
        <w:jc w:val="left"/>
      </w:pPr>
      <w:hyperlink w:history="1" w:anchor="tbl_6_1">
        <w:r>
          <w:rPr>
            <w:rFonts w:ascii="Times New Roman" w:cs="Times New Roman" w:eastAsia="Times New Roman" w:hAnsi="Times New Roman"/>
            <w:b w:val="false"/>
            <w:bCs w:val="false"/>
            <w:i w:val="false"/>
            <w:iCs w:val="false"/>
            <w:color w:val="000000"/>
            <w:sz w:val="24"/>
            <w:szCs w:val="24"/>
          </w:rPr>
          <w:t xml:space="preserve">Table 6.1: Referral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0" w:right="0" w:firstLine="0"/>
        <w:jc w:val="left"/>
      </w:pPr>
      <w:hyperlink w:history="1" w:anchor="tbl_7_1">
        <w:r>
          <w:rPr>
            <w:rFonts w:ascii="Times New Roman" w:cs="Times New Roman" w:eastAsia="Times New Roman" w:hAnsi="Times New Roman"/>
            <w:b w:val="false"/>
            <w:bCs w:val="false"/>
            <w:i w:val="false"/>
            <w:iCs w:val="false"/>
            <w:color w:val="000000"/>
            <w:sz w:val="24"/>
            <w:szCs w:val="24"/>
          </w:rPr>
          <w:t xml:space="preserve">Table 7.1: Patient history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0" w:right="0" w:firstLine="0"/>
        <w:jc w:val="left"/>
      </w:pPr>
      <w:hyperlink w:history="1" w:anchor="tbl_8_1">
        <w:r>
          <w:rPr>
            <w:rFonts w:ascii="Times New Roman" w:cs="Times New Roman" w:eastAsia="Times New Roman" w:hAnsi="Times New Roman"/>
            <w:b w:val="false"/>
            <w:bCs w:val="false"/>
            <w:i w:val="false"/>
            <w:iCs w:val="false"/>
            <w:color w:val="000000"/>
            <w:sz w:val="24"/>
            <w:szCs w:val="24"/>
          </w:rPr>
          <w:t xml:space="preserve">Table 8.1: Reference data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0" w:right="0" w:firstLine="0"/>
        <w:jc w:val="left"/>
      </w:pPr>
      <w:hyperlink w:history="1" w:anchor="tbl_8_2">
        <w:r>
          <w:rPr>
            <w:rFonts w:ascii="Times New Roman" w:cs="Times New Roman" w:eastAsia="Times New Roman" w:hAnsi="Times New Roman"/>
            <w:b w:val="false"/>
            <w:bCs w:val="false"/>
            <w:i w:val="false"/>
            <w:iCs w:val="false"/>
            <w:color w:val="000000"/>
            <w:sz w:val="24"/>
            <w:szCs w:val="24"/>
          </w:rPr>
          <w:t xml:space="preserve">Table 8.2: Ergonomics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12</w:t>
        </w:r>
      </w:hyperlink>
    </w:p>
    <w:p>
      <w:pPr>
        <w:tabs>
          <w:tab w:val="right" w:pos="9746" w:leader="dot"/>
        </w:tabs>
        <w:spacing w:after="60" w:line="260" w:lineRule="auto"/>
        <w:ind w:left="0" w:right="0" w:firstLine="0"/>
        <w:jc w:val="left"/>
      </w:pPr>
      <w:hyperlink w:history="1" w:anchor="tbl_8_3">
        <w:r>
          <w:rPr>
            <w:rFonts w:ascii="Times New Roman" w:cs="Times New Roman" w:eastAsia="Times New Roman" w:hAnsi="Times New Roman"/>
            <w:b w:val="false"/>
            <w:bCs w:val="false"/>
            <w:i w:val="false"/>
            <w:iCs w:val="false"/>
            <w:color w:val="000000"/>
            <w:sz w:val="24"/>
            <w:szCs w:val="24"/>
          </w:rPr>
          <w:t xml:space="preserve">Table 8.3: Industrial hygiene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12</w:t>
        </w:r>
      </w:hyperlink>
    </w:p>
    <w:p>
      <w:pPr>
        <w:tabs>
          <w:tab w:val="right" w:pos="9746" w:leader="dot"/>
        </w:tabs>
        <w:spacing w:after="60" w:line="260" w:lineRule="auto"/>
        <w:ind w:left="0" w:right="0" w:firstLine="0"/>
        <w:jc w:val="left"/>
      </w:pPr>
      <w:hyperlink w:history="1" w:anchor="tbl_8_4">
        <w:r>
          <w:rPr>
            <w:rFonts w:ascii="Times New Roman" w:cs="Times New Roman" w:eastAsia="Times New Roman" w:hAnsi="Times New Roman"/>
            <w:b w:val="false"/>
            <w:bCs w:val="false"/>
            <w:i w:val="false"/>
            <w:iCs w:val="false"/>
            <w:color w:val="000000"/>
            <w:sz w:val="24"/>
            <w:szCs w:val="24"/>
          </w:rPr>
          <w:t xml:space="preserve">Table 8.4: Monthly return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13</w:t>
        </w:r>
      </w:hyperlink>
    </w:p>
    <w:p>
      <w:pPr>
        <w:tabs>
          <w:tab w:val="right" w:pos="9746" w:leader="dot"/>
        </w:tabs>
        <w:spacing w:after="60" w:line="260" w:lineRule="auto"/>
        <w:ind w:left="0" w:right="0" w:firstLine="0"/>
        <w:jc w:val="left"/>
      </w:pPr>
      <w:hyperlink w:history="1" w:anchor="tbl_8_5">
        <w:r>
          <w:rPr>
            <w:rFonts w:ascii="Times New Roman" w:cs="Times New Roman" w:eastAsia="Times New Roman" w:hAnsi="Times New Roman"/>
            <w:b w:val="false"/>
            <w:bCs w:val="false"/>
            <w:i w:val="false"/>
            <w:iCs w:val="false"/>
            <w:color w:val="000000"/>
            <w:sz w:val="24"/>
            <w:szCs w:val="24"/>
          </w:rPr>
          <w:t xml:space="preserve">Table 8.5: Nine dashboard indicators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13</w:t>
        </w:r>
      </w:hyperlink>
    </w:p>
    <w:p>
      <w:pPr>
        <w:tabs>
          <w:tab w:val="right" w:pos="9746" w:leader="dot"/>
        </w:tabs>
        <w:spacing w:after="60" w:line="260" w:lineRule="auto"/>
        <w:ind w:left="0" w:right="0" w:firstLine="0"/>
        <w:jc w:val="left"/>
      </w:pPr>
      <w:hyperlink w:history="1" w:anchor="tbl_8_6">
        <w:r>
          <w:rPr>
            <w:rFonts w:ascii="Times New Roman" w:cs="Times New Roman" w:eastAsia="Times New Roman" w:hAnsi="Times New Roman"/>
            <w:b w:val="false"/>
            <w:bCs w:val="false"/>
            <w:i w:val="false"/>
            <w:iCs w:val="false"/>
            <w:color w:val="000000"/>
            <w:sz w:val="24"/>
            <w:szCs w:val="24"/>
          </w:rPr>
          <w:t xml:space="preserve">Table 8.6: Dashboard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14</w:t>
        </w:r>
      </w:hyperlink>
    </w:p>
    <w:p>
      <w:pPr>
        <w:tabs>
          <w:tab w:val="right" w:pos="9746" w:leader="dot"/>
        </w:tabs>
        <w:spacing w:after="60" w:line="260" w:lineRule="auto"/>
        <w:ind w:left="0" w:right="0" w:firstLine="0"/>
        <w:jc w:val="left"/>
      </w:pPr>
      <w:hyperlink w:history="1" w:anchor="tbl_9_1">
        <w:r>
          <w:rPr>
            <w:rFonts w:ascii="Times New Roman" w:cs="Times New Roman" w:eastAsia="Times New Roman" w:hAnsi="Times New Roman"/>
            <w:b w:val="false"/>
            <w:bCs w:val="false"/>
            <w:i w:val="false"/>
            <w:iCs w:val="false"/>
            <w:color w:val="000000"/>
            <w:sz w:val="24"/>
            <w:szCs w:val="24"/>
          </w:rPr>
          <w:t xml:space="preserve">Table 9.1: Non-functional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14</w:t>
        </w:r>
      </w:hyperlink>
    </w:p>
    <w:p>
      <w:pPr>
        <w:tabs>
          <w:tab w:val="right" w:pos="9746" w:leader="dot"/>
        </w:tabs>
        <w:spacing w:after="60" w:line="260" w:lineRule="auto"/>
        <w:ind w:left="0" w:right="0" w:firstLine="0"/>
        <w:jc w:val="left"/>
      </w:pPr>
      <w:hyperlink w:history="1" w:anchor="tbl_10_1">
        <w:r>
          <w:rPr>
            <w:rFonts w:ascii="Times New Roman" w:cs="Times New Roman" w:eastAsia="Times New Roman" w:hAnsi="Times New Roman"/>
            <w:b w:val="false"/>
            <w:bCs w:val="false"/>
            <w:i w:val="false"/>
            <w:iCs w:val="false"/>
            <w:color w:val="000000"/>
            <w:sz w:val="24"/>
            <w:szCs w:val="24"/>
          </w:rPr>
          <w:t xml:space="preserve">Table 10.1: Open decisions and current posture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15</w:t>
        </w:r>
      </w:hyperlink>
    </w:p>
    <w:p>
      <w:pPr>
        <w:tabs>
          <w:tab w:val="right" w:pos="9746" w:leader="dot"/>
        </w:tabs>
        <w:spacing w:after="60" w:line="260" w:lineRule="auto"/>
        <w:ind w:left="0" w:right="0" w:firstLine="0"/>
        <w:jc w:val="left"/>
      </w:pPr>
      <w:hyperlink w:history="1" w:anchor="tbl_10_2">
        <w:r>
          <w:rPr>
            <w:rFonts w:ascii="Times New Roman" w:cs="Times New Roman" w:eastAsia="Times New Roman" w:hAnsi="Times New Roman"/>
            <w:b w:val="false"/>
            <w:bCs w:val="false"/>
            <w:i w:val="false"/>
            <w:iCs w:val="false"/>
            <w:color w:val="000000"/>
            <w:sz w:val="24"/>
            <w:szCs w:val="24"/>
          </w:rPr>
          <w:t xml:space="preserve">Table 10.2: Specification sign-off</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16</w:t>
        </w:r>
      </w:hyperlink>
    </w:p>
    <w:p>
      <w:r>
        <w:br w:type="page"/>
      </w:r>
    </w:p>
    <w:p>
      <w:pPr>
        <w:pStyle w:val="Heading1"/>
        <w:numPr>
          <w:ilvl w:val="0"/>
          <w:numId w:val="2"/>
        </w:numPr>
        <w:spacing w:after="170" w:before="300"/>
        <w:ind w:left="0" w:right="0" w:firstLine="0"/>
        <w:jc w:val="left"/>
      </w:pPr>
      <w:bookmarkStart w:name="h_1" w:id="1"/>
      <w:r>
        <w:rPr>
          <w:rFonts w:ascii="Times New Roman" w:cs="Times New Roman" w:eastAsia="Times New Roman" w:hAnsi="Times New Roman"/>
          <w:b/>
          <w:bCs/>
          <w:i w:val="false"/>
          <w:iCs w:val="false"/>
          <w:color w:val="000000"/>
          <w:sz w:val="24"/>
          <w:szCs w:val="24"/>
        </w:rPr>
        <w:t xml:space="preserve">Introduction</w:t>
      </w:r>
      <w:bookmarkEnd w:id="1"/>
    </w:p>
    <w:p>
      <w:pPr>
        <w:pStyle w:val="Heading2"/>
        <w:numPr>
          <w:ilvl w:val="1"/>
          <w:numId w:val="2"/>
        </w:numPr>
        <w:spacing w:after="150" w:before="270"/>
        <w:ind w:left="0" w:right="0" w:firstLine="0"/>
        <w:jc w:val="left"/>
      </w:pPr>
      <w:bookmarkStart w:name="h_2" w:id="1"/>
      <w:r>
        <w:rPr>
          <w:rFonts w:ascii="Times New Roman" w:cs="Times New Roman" w:eastAsia="Times New Roman" w:hAnsi="Times New Roman"/>
          <w:b/>
          <w:bCs/>
          <w:i w:val="false"/>
          <w:iCs w:val="false"/>
          <w:color w:val="000000"/>
          <w:sz w:val="24"/>
          <w:szCs w:val="24"/>
        </w:rPr>
        <w:t xml:space="preserve">Purpose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Software Requirements Specification defines what the Health and Wellness Management System must do. It is written for the Health and Wellness Division who will use the system, for the Department of Quality, Health, Safety and Environment who own it, and for KMC ICT who will host and later maintain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Division originally asked for a dashboard into which staff would type summary figures at the end of each working day. This specification proposes something different, and the difference is the central idea of the system. A dashboard fed by end of day typing is a second manual process running alongside the first. It inherits every weakness of the paper it replaces, namely transcription error, delay, and no verifiable link between a reported figure and the event that produced it. The system therefore captures each operational event where it happens, and derives the dashboard from those records. The dashboard is a consequence of the system rather than a component of it.</w:t>
      </w:r>
    </w:p>
    <w:p>
      <w:pPr>
        <w:pStyle w:val="Heading2"/>
        <w:numPr>
          <w:ilvl w:val="1"/>
          <w:numId w:val="2"/>
        </w:numPr>
        <w:spacing w:after="150" w:before="270"/>
        <w:ind w:left="0" w:right="0" w:firstLine="0"/>
        <w:jc w:val="left"/>
      </w:pPr>
      <w:bookmarkStart w:name="h_3" w:id="1"/>
      <w:r>
        <w:rPr>
          <w:rFonts w:ascii="Times New Roman" w:cs="Times New Roman" w:eastAsia="Times New Roman" w:hAnsi="Times New Roman"/>
          <w:b/>
          <w:bCs/>
          <w:i w:val="false"/>
          <w:iCs w:val="false"/>
          <w:color w:val="000000"/>
          <w:sz w:val="24"/>
          <w:szCs w:val="24"/>
        </w:rPr>
        <w:t xml:space="preserve">Scope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covers the Health and Wellness division of the department. That division comprises three units, which are Occupational Health, Ergonomics and Wellness, and Industrial Hygiene. Occupational Health covers clinic attendance and laboratory testing.</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Quality Inspection and Testing, Workplace Safety, and Environment and Sustainability are outside scope. The client established after the review of 4 August 2026 that those divisions already operate their own systems. Occupational health and safety indicators that the division itself reports remain in scope, because they appear on the divisional performance dashboard the client supplied.</w:t>
      </w:r>
    </w:p>
    <w:p>
      <w:pPr>
        <w:pStyle w:val="Heading2"/>
        <w:numPr>
          <w:ilvl w:val="1"/>
          <w:numId w:val="2"/>
        </w:numPr>
        <w:spacing w:after="150" w:before="270"/>
        <w:ind w:left="0" w:right="0" w:firstLine="0"/>
        <w:jc w:val="left"/>
      </w:pPr>
      <w:bookmarkStart w:name="h_4" w:id="1"/>
      <w:r>
        <w:rPr>
          <w:rFonts w:ascii="Times New Roman" w:cs="Times New Roman" w:eastAsia="Times New Roman" w:hAnsi="Times New Roman"/>
          <w:b/>
          <w:bCs/>
          <w:i w:val="false"/>
          <w:iCs w:val="false"/>
          <w:color w:val="000000"/>
          <w:sz w:val="24"/>
          <w:szCs w:val="24"/>
        </w:rPr>
        <w:t xml:space="preserve">Definitions</w:t>
      </w:r>
      <w:bookmarkEnd w:id="1"/>
    </w:p>
    <w:p>
      <w:pPr>
        <w:pStyle w:val="TableCaption"/>
        <w:spacing w:after="120" w:before="120"/>
        <w:ind w:left="0" w:right="0" w:firstLine="0"/>
        <w:jc w:val="left"/>
      </w:pPr>
      <w:bookmarkStart w:name="tbl_1_1" w:id="1"/>
      <w:r>
        <w:rPr>
          <w:rFonts w:ascii="Times New Roman" w:cs="Times New Roman" w:eastAsia="Times New Roman" w:hAnsi="Times New Roman"/>
          <w:b w:val="false"/>
          <w:bCs w:val="false"/>
          <w:i/>
          <w:iCs/>
          <w:color w:val="000000"/>
          <w:sz w:val="18"/>
          <w:szCs w:val="18"/>
        </w:rPr>
        <w:t xml:space="preserve">Table 1.1</w:t>
      </w:r>
      <w:bookmarkEnd w:id="1"/>
      <w:r>
        <w:rPr>
          <w:rFonts w:ascii="Times New Roman" w:cs="Times New Roman" w:eastAsia="Times New Roman" w:hAnsi="Times New Roman"/>
          <w:b w:val="false"/>
          <w:bCs w:val="false"/>
          <w:i/>
          <w:iCs/>
          <w:color w:val="000000"/>
          <w:sz w:val="18"/>
          <w:szCs w:val="18"/>
        </w:rPr>
        <w:t xml:space="preserve">: Terms used in this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330"/>
        <w:gridCol w:w="679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Term</w:t>
            </w:r>
          </w:p>
        </w:tc>
        <w:tc>
          <w:tcPr>
            <w:tcW w:type="dxa" w:w="679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Meaning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Officer</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 The clinical role. The only role that may retrieve an individual clinical record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Manager</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manager. Reviews performance and administers user accounts. Holds no clinical access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Director</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Executive consumer of the dashboard. Holds no clinical access and no entry rights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Visit</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attendance at the clinic by one patient. Called an encounter internally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Requisition</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laboratory request on form KMC.DQHSE.05/26-FM008, together with the results written against 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Referral</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referral to an external medical facility on form KMC.DQHSE.02/26-FM004</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Section state</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Whether a part of the visit record is not recorded, partial, complete, or not clinically indicated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Provenance</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Whether a reported figure was derived from records, entered from an external source, or is a proposal awaiting approval</w:t>
            </w:r>
          </w:p>
        </w:tc>
      </w:tr>
    </w:tbl>
    <w:p>
      <w:pPr>
        <w:pStyle w:val="Heading2"/>
        <w:numPr>
          <w:ilvl w:val="1"/>
          <w:numId w:val="2"/>
        </w:numPr>
        <w:spacing w:after="150" w:before="270"/>
        <w:ind w:left="0" w:right="0" w:firstLine="0"/>
        <w:jc w:val="left"/>
      </w:pPr>
      <w:bookmarkStart w:name="h_5" w:id="1"/>
      <w:r>
        <w:rPr>
          <w:rFonts w:ascii="Times New Roman" w:cs="Times New Roman" w:eastAsia="Times New Roman" w:hAnsi="Times New Roman"/>
          <w:b/>
          <w:bCs/>
          <w:i w:val="false"/>
          <w:iCs w:val="false"/>
          <w:color w:val="000000"/>
          <w:sz w:val="24"/>
          <w:szCs w:val="24"/>
        </w:rPr>
        <w:t xml:space="preserve">Sources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Every requirement in this document derives from one of four sources. Where a requirement derives from none of them it is marked as a proposal and named as such, so that a reader can tell what KMC asked for from what was suggested.</w:t>
      </w:r>
    </w:p>
    <w:p>
      <w:pPr>
        <w:pStyle w:val="TableCaption"/>
        <w:spacing w:after="120" w:before="120"/>
        <w:ind w:left="0" w:right="0" w:firstLine="0"/>
        <w:jc w:val="left"/>
      </w:pPr>
      <w:bookmarkStart w:name="tbl_1_2" w:id="1"/>
      <w:r>
        <w:rPr>
          <w:rFonts w:ascii="Times New Roman" w:cs="Times New Roman" w:eastAsia="Times New Roman" w:hAnsi="Times New Roman"/>
          <w:b w:val="false"/>
          <w:bCs w:val="false"/>
          <w:i/>
          <w:iCs/>
          <w:color w:val="000000"/>
          <w:sz w:val="18"/>
          <w:szCs w:val="18"/>
        </w:rPr>
        <w:t xml:space="preserve">Table 1.2</w:t>
      </w:r>
      <w:bookmarkEnd w:id="1"/>
      <w:r>
        <w:rPr>
          <w:rFonts w:ascii="Times New Roman" w:cs="Times New Roman" w:eastAsia="Times New Roman" w:hAnsi="Times New Roman"/>
          <w:b w:val="false"/>
          <w:bCs w:val="false"/>
          <w:i/>
          <w:iCs/>
          <w:color w:val="000000"/>
          <w:sz w:val="18"/>
          <w:szCs w:val="18"/>
        </w:rPr>
        <w:t xml:space="preserve">: Source documents and their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912"/>
        <w:gridCol w:w="4465"/>
        <w:gridCol w:w="1747"/>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91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Source</w:t>
            </w:r>
          </w:p>
        </w:tc>
        <w:tc>
          <w:tcPr>
            <w:tcW w:type="dxa" w:w="446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Contribution</w:t>
            </w:r>
          </w:p>
        </w:tc>
        <w:tc>
          <w:tcPr>
            <w:tcW w:type="dxa" w:w="174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Status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KVP Infirmary Medical Form</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structure and order of the clinic visit record</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the division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KMC.DQHSE.02/26-FM004</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referral to an external facility, field by field</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the division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KMC.DQHSE.05/26-FM008</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laboratory requisition and its seven investigations</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the division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Divisional performance dashboard</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indicator set, targets and directions</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the division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Requirements interviews and reviews</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Roles, workflow and the decisions in Section 8</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Recorded in the decision register</w:t>
            </w:r>
          </w:p>
        </w:tc>
      </w:tr>
    </w:tbl>
    <w:p>
      <w:pPr>
        <w:pStyle w:val="Heading1"/>
        <w:numPr>
          <w:ilvl w:val="0"/>
          <w:numId w:val="2"/>
        </w:numPr>
        <w:spacing w:after="170" w:before="300"/>
        <w:ind w:left="0" w:right="0" w:firstLine="0"/>
        <w:jc w:val="left"/>
      </w:pPr>
      <w:bookmarkStart w:name="h_6" w:id="1"/>
      <w:r>
        <w:rPr>
          <w:rFonts w:ascii="Times New Roman" w:cs="Times New Roman" w:eastAsia="Times New Roman" w:hAnsi="Times New Roman"/>
          <w:b/>
          <w:bCs/>
          <w:i w:val="false"/>
          <w:iCs w:val="false"/>
          <w:color w:val="000000"/>
          <w:sz w:val="24"/>
          <w:szCs w:val="24"/>
        </w:rPr>
        <w:t xml:space="preserve">Users and access</w:t>
      </w:r>
      <w:bookmarkEnd w:id="1"/>
    </w:p>
    <w:p>
      <w:pPr>
        <w:pStyle w:val="Heading2"/>
        <w:numPr>
          <w:ilvl w:val="1"/>
          <w:numId w:val="2"/>
        </w:numPr>
        <w:spacing w:after="150" w:before="270"/>
        <w:ind w:left="0" w:right="0" w:firstLine="0"/>
        <w:jc w:val="left"/>
      </w:pPr>
      <w:bookmarkStart w:name="h_7" w:id="1"/>
      <w:r>
        <w:rPr>
          <w:rFonts w:ascii="Times New Roman" w:cs="Times New Roman" w:eastAsia="Times New Roman" w:hAnsi="Times New Roman"/>
          <w:b/>
          <w:bCs/>
          <w:i w:val="false"/>
          <w:iCs w:val="false"/>
          <w:color w:val="000000"/>
          <w:sz w:val="24"/>
          <w:szCs w:val="24"/>
        </w:rPr>
        <w:t xml:space="preserve">User roles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has three roles. The separation between them is the most consequential design decision in this specification and it is treated as a requirement rather than a configuration choice.</w:t>
      </w:r>
    </w:p>
    <w:p>
      <w:pPr>
        <w:pStyle w:val="TableCaption"/>
        <w:spacing w:after="120" w:before="120"/>
        <w:ind w:left="0" w:right="0" w:firstLine="0"/>
        <w:jc w:val="left"/>
      </w:pPr>
      <w:bookmarkStart w:name="tbl_2_1" w:id="1"/>
      <w:r>
        <w:rPr>
          <w:rFonts w:ascii="Times New Roman" w:cs="Times New Roman" w:eastAsia="Times New Roman" w:hAnsi="Times New Roman"/>
          <w:b w:val="false"/>
          <w:bCs w:val="false"/>
          <w:i/>
          <w:iCs/>
          <w:color w:val="000000"/>
          <w:sz w:val="18"/>
          <w:szCs w:val="18"/>
        </w:rPr>
        <w:t xml:space="preserve">Table 2.1</w:t>
      </w:r>
      <w:bookmarkEnd w:id="1"/>
      <w:r>
        <w:rPr>
          <w:rFonts w:ascii="Times New Roman" w:cs="Times New Roman" w:eastAsia="Times New Roman" w:hAnsi="Times New Roman"/>
          <w:b w:val="false"/>
          <w:bCs w:val="false"/>
          <w:i/>
          <w:iCs/>
          <w:color w:val="000000"/>
          <w:sz w:val="18"/>
          <w:szCs w:val="18"/>
        </w:rPr>
        <w:t xml:space="preserve">: Roles and what each may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330"/>
        <w:gridCol w:w="2912"/>
        <w:gridCol w:w="2524"/>
        <w:gridCol w:w="1359"/>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291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May see</w:t>
            </w:r>
          </w:p>
        </w:tc>
        <w:tc>
          <w:tcPr>
            <w:tcW w:type="dxa" w:w="252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May enter</w:t>
            </w:r>
          </w:p>
        </w:tc>
        <w:tc>
          <w:tcPr>
            <w:tcW w:type="dxa" w:w="135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Clinical access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Everything except account administration and reference changes</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Patients, visits, laboratory, referrals, monitoring, occupational plans and monthly returns</w:t>
            </w:r>
          </w:p>
        </w:tc>
        <w:tc>
          <w:tcPr>
            <w:tcW w:type="dxa" w:w="13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Yes, and each retrieval is logged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Manager</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Dashboard, unit pages, monthly returns, reference data and accounts</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Accounts, KPI targets and exposure limits through the API</w:t>
            </w:r>
          </w:p>
        </w:tc>
        <w:tc>
          <w:tcPr>
            <w:tcW w:type="dxa" w:w="13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Director</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Dashboard and summary reports</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Nothing</w:t>
            </w:r>
          </w:p>
        </w:tc>
        <w:tc>
          <w:tcPr>
            <w:tcW w:type="dxa" w:w="13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Director sees less than the Manager. That reflects the oversight task rather than lesser authority, and it is recorded here because it inverts the usual hierarchy and would otherwise be read as a defect.</w:t>
      </w:r>
    </w:p>
    <w:p>
      <w:pPr>
        <w:pStyle w:val="Heading2"/>
        <w:numPr>
          <w:ilvl w:val="1"/>
          <w:numId w:val="2"/>
        </w:numPr>
        <w:spacing w:after="150" w:before="270"/>
        <w:ind w:left="0" w:right="0" w:firstLine="0"/>
        <w:jc w:val="left"/>
      </w:pPr>
      <w:bookmarkStart w:name="h_8" w:id="1"/>
      <w:r>
        <w:rPr>
          <w:rFonts w:ascii="Times New Roman" w:cs="Times New Roman" w:eastAsia="Times New Roman" w:hAnsi="Times New Roman"/>
          <w:b/>
          <w:bCs/>
          <w:i w:val="false"/>
          <w:iCs w:val="false"/>
          <w:color w:val="000000"/>
          <w:sz w:val="24"/>
          <w:szCs w:val="24"/>
        </w:rPr>
        <w:t xml:space="preserve">The clinical access rule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An individual clinical record is accessible to the Health and Wellness Officer alone. No other role may retrieve one. Not the Manager, not the Director, not a system administrator, not a report generator, and not a background job.</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is the standard occupational health separation and it protects three parties at once. It protects the employee from employment consequences flowing from a medical disclosure. It protects the officer from pressure to disclose. It protects the Corporation from liability under the Data Protection and Privacy Act, 2019, under which data concerning health is special personal data.</w:t>
      </w:r>
    </w:p>
    <w:p>
      <w:pPr>
        <w:spacing w:after="60" w:before="160" w:line="240" w:lineRule="auto"/>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28950"/>
                    </a:xfrm>
                    <a:prstGeom prst="rect">
                      <a:avLst/>
                    </a:prstGeom>
                  </pic:spPr>
                </pic:pic>
              </a:graphicData>
            </a:graphic>
          </wp:inline>
        </w:drawing>
      </w:r>
    </w:p>
    <w:p>
      <w:pPr>
        <w:pStyle w:val="FigureCaption"/>
        <w:spacing w:after="120" w:before="120"/>
        <w:ind w:left="0" w:right="0" w:firstLine="0"/>
        <w:jc w:val="left"/>
      </w:pPr>
      <w:bookmarkStart w:name="fig_2_1" w:id="1"/>
      <w:r>
        <w:rPr>
          <w:rFonts w:ascii="Times New Roman" w:cs="Times New Roman" w:eastAsia="Times New Roman" w:hAnsi="Times New Roman"/>
          <w:b w:val="false"/>
          <w:bCs w:val="false"/>
          <w:i/>
          <w:iCs/>
          <w:color w:val="000000"/>
          <w:sz w:val="18"/>
          <w:szCs w:val="18"/>
        </w:rPr>
        <w:t xml:space="preserve">Figure 2.1</w:t>
      </w:r>
      <w:bookmarkEnd w:id="1"/>
      <w:r>
        <w:rPr>
          <w:rFonts w:ascii="Times New Roman" w:cs="Times New Roman" w:eastAsia="Times New Roman" w:hAnsi="Times New Roman"/>
          <w:b w:val="false"/>
          <w:bCs w:val="false"/>
          <w:i/>
          <w:iCs/>
          <w:color w:val="000000"/>
          <w:sz w:val="18"/>
          <w:szCs w:val="18"/>
        </w:rPr>
        <w:t xml:space="preserve">: Where the clinical access rule is enforced</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arrangement in </w:t>
      </w:r>
      <w:fldSimple w:instr="REF fig_2_1 \h">
        <w:r>
          <w:t xml:space="preserve">Figure 2.1</w:t>
        </w:r>
      </w:fldSimple>
      <w:r>
        <w:rPr>
          <w:rFonts w:ascii="Times New Roman" w:cs="Times New Roman" w:eastAsia="Times New Roman" w:hAnsi="Times New Roman"/>
          <w:b w:val="false"/>
          <w:bCs w:val="false"/>
          <w:i w:val="false"/>
          <w:iCs w:val="false"/>
          <w:color w:val="000000"/>
          <w:sz w:val="24"/>
          <w:szCs w:val="24"/>
        </w:rPr>
        <w:t xml:space="preserve"> is deliberate repetition. Any one of the four layers refuses the request on its own, so no single mistake in configuration, routing or code removes the protection.</w:t>
      </w:r>
    </w:p>
    <w:p>
      <w:pPr>
        <w:pStyle w:val="TableCaption"/>
        <w:spacing w:after="120" w:before="120"/>
        <w:ind w:left="0" w:right="0" w:firstLine="0"/>
        <w:jc w:val="left"/>
      </w:pPr>
      <w:bookmarkStart w:name="tbl_2_2" w:id="1"/>
      <w:r>
        <w:rPr>
          <w:rFonts w:ascii="Times New Roman" w:cs="Times New Roman" w:eastAsia="Times New Roman" w:hAnsi="Times New Roman"/>
          <w:b w:val="false"/>
          <w:bCs w:val="false"/>
          <w:i/>
          <w:iCs/>
          <w:color w:val="000000"/>
          <w:sz w:val="18"/>
          <w:szCs w:val="18"/>
        </w:rPr>
        <w:t xml:space="preserve">Table 2.2</w:t>
      </w:r>
      <w:bookmarkEnd w:id="1"/>
      <w:r>
        <w:rPr>
          <w:rFonts w:ascii="Times New Roman" w:cs="Times New Roman" w:eastAsia="Times New Roman" w:hAnsi="Times New Roman"/>
          <w:b w:val="false"/>
          <w:bCs w:val="false"/>
          <w:i/>
          <w:iCs/>
          <w:color w:val="000000"/>
          <w:sz w:val="18"/>
          <w:szCs w:val="18"/>
        </w:rPr>
        <w:t xml:space="preserve">: Access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user is authenticated before any function is available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Only the officer role may retrieve an individual clinical record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Authorisation is enforced by the service and not only by hiding controls in the interface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retrieval of an individual clinical record is written to an access log before the record is returned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access log is append only and readable by the data protection owner alone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creation, change and deletion of a user account is written to the audit log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manager creates officer and director accounts. The manager cannot grant the manager role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session ends after a period of inactivity, set conservatively because clinic workstations are shared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account holding no role is refused at sign in and told who assigns roles</w:t>
            </w:r>
          </w:p>
        </w:tc>
      </w:tr>
    </w:tbl>
    <w:p>
      <w:pPr>
        <w:pStyle w:val="Heading1"/>
        <w:numPr>
          <w:ilvl w:val="0"/>
          <w:numId w:val="2"/>
        </w:numPr>
        <w:spacing w:after="170" w:before="300"/>
        <w:ind w:left="0" w:right="0" w:firstLine="0"/>
        <w:jc w:val="left"/>
      </w:pPr>
      <w:bookmarkStart w:name="h_9" w:id="1"/>
      <w:r>
        <w:rPr>
          <w:rFonts w:ascii="Times New Roman" w:cs="Times New Roman" w:eastAsia="Times New Roman" w:hAnsi="Times New Roman"/>
          <w:b/>
          <w:bCs/>
          <w:i w:val="false"/>
          <w:iCs w:val="false"/>
          <w:color w:val="000000"/>
          <w:sz w:val="24"/>
          <w:szCs w:val="24"/>
        </w:rPr>
        <w:t xml:space="preserve">Patient registry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registry identifies any person eligible to attend the clinic, whether or not they are an employee. It is keyed on a patient identifier and not on a staff number, because a registry that demanded a staff number would force clinical staff either to turn a patient away or to invent an identifier under time pressure. Neither is acceptable.</w:t>
      </w:r>
    </w:p>
    <w:p>
      <w:pPr>
        <w:pStyle w:val="TableCaption"/>
        <w:spacing w:after="120" w:before="120"/>
        <w:ind w:left="0" w:right="0" w:firstLine="0"/>
        <w:jc w:val="left"/>
      </w:pPr>
      <w:bookmarkStart w:name="tbl_3_1" w:id="1"/>
      <w:r>
        <w:rPr>
          <w:rFonts w:ascii="Times New Roman" w:cs="Times New Roman" w:eastAsia="Times New Roman" w:hAnsi="Times New Roman"/>
          <w:b w:val="false"/>
          <w:bCs w:val="false"/>
          <w:i/>
          <w:iCs/>
          <w:color w:val="000000"/>
          <w:sz w:val="18"/>
          <w:szCs w:val="18"/>
        </w:rPr>
        <w:t xml:space="preserve">Table 3.1</w:t>
      </w:r>
      <w:bookmarkEnd w:id="1"/>
      <w:r>
        <w:rPr>
          <w:rFonts w:ascii="Times New Roman" w:cs="Times New Roman" w:eastAsia="Times New Roman" w:hAnsi="Times New Roman"/>
          <w:b w:val="false"/>
          <w:bCs w:val="false"/>
          <w:i/>
          <w:iCs/>
          <w:color w:val="000000"/>
          <w:sz w:val="18"/>
          <w:szCs w:val="18"/>
        </w:rPr>
        <w:t xml:space="preserve">: Patient registry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patient is registered with name, age, sex, phone contact, department, division, unit and job title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patient carries a category of employee, intern or other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staff number is optional for every category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Incomplete organisational detail does not prevent registration, because urgent presentation must never be blocked by data entry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registry is searchable by name, staff number and department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Searching the registry is itself recorded in the access log, because a search reveals who attends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patient record is removed by soft deletion only</w:t>
            </w:r>
          </w:p>
        </w:tc>
      </w:tr>
    </w:tbl>
    <w:p>
      <w:pPr>
        <w:pStyle w:val="Heading1"/>
        <w:numPr>
          <w:ilvl w:val="0"/>
          <w:numId w:val="2"/>
        </w:numPr>
        <w:spacing w:after="170" w:before="300"/>
        <w:ind w:left="0" w:right="0" w:firstLine="0"/>
        <w:jc w:val="left"/>
      </w:pPr>
      <w:bookmarkStart w:name="h_10" w:id="1"/>
      <w:r>
        <w:rPr>
          <w:rFonts w:ascii="Times New Roman" w:cs="Times New Roman" w:eastAsia="Times New Roman" w:hAnsi="Times New Roman"/>
          <w:b/>
          <w:bCs/>
          <w:i w:val="false"/>
          <w:iCs w:val="false"/>
          <w:color w:val="000000"/>
          <w:sz w:val="24"/>
          <w:szCs w:val="24"/>
        </w:rPr>
        <w:t xml:space="preserve">Clinic visits</w:t>
      </w:r>
      <w:bookmarkEnd w:id="1"/>
    </w:p>
    <w:p>
      <w:pPr>
        <w:pStyle w:val="Heading2"/>
        <w:numPr>
          <w:ilvl w:val="1"/>
          <w:numId w:val="2"/>
        </w:numPr>
        <w:spacing w:after="150" w:before="270"/>
        <w:ind w:left="0" w:right="0" w:firstLine="0"/>
        <w:jc w:val="left"/>
      </w:pPr>
      <w:bookmarkStart w:name="h_11" w:id="1"/>
      <w:r>
        <w:rPr>
          <w:rFonts w:ascii="Times New Roman" w:cs="Times New Roman" w:eastAsia="Times New Roman" w:hAnsi="Times New Roman"/>
          <w:b/>
          <w:bCs/>
          <w:i w:val="false"/>
          <w:iCs w:val="false"/>
          <w:color w:val="000000"/>
          <w:sz w:val="24"/>
          <w:szCs w:val="24"/>
        </w:rPr>
        <w:t xml:space="preserve">Structure of the record</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visit record follows the order of the paper form the clinic already uses. Clinical staff have muscle memory for that sequence and reordering it for interface convenience would cost more than it saves.</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full form is rarely completed. A patient presenting with a minor complaint will have no systemic examination and no occupational history recorded, and that is a clinical judgement rather than an omission. Each section therefore carries an explicit state.</w:t>
      </w:r>
    </w:p>
    <w:p>
      <w:pPr>
        <w:pStyle w:val="TableCaption"/>
        <w:spacing w:after="120" w:before="120"/>
        <w:ind w:left="0" w:right="0" w:firstLine="0"/>
        <w:jc w:val="left"/>
      </w:pPr>
      <w:bookmarkStart w:name="tbl_4_1" w:id="1"/>
      <w:r>
        <w:rPr>
          <w:rFonts w:ascii="Times New Roman" w:cs="Times New Roman" w:eastAsia="Times New Roman" w:hAnsi="Times New Roman"/>
          <w:b w:val="false"/>
          <w:bCs w:val="false"/>
          <w:i/>
          <w:iCs/>
          <w:color w:val="000000"/>
          <w:sz w:val="18"/>
          <w:szCs w:val="18"/>
        </w:rPr>
        <w:t xml:space="preserve">Table 4.1</w:t>
      </w:r>
      <w:bookmarkEnd w:id="1"/>
      <w:r>
        <w:rPr>
          <w:rFonts w:ascii="Times New Roman" w:cs="Times New Roman" w:eastAsia="Times New Roman" w:hAnsi="Times New Roman"/>
          <w:b w:val="false"/>
          <w:bCs w:val="false"/>
          <w:i/>
          <w:iCs/>
          <w:color w:val="000000"/>
          <w:sz w:val="18"/>
          <w:szCs w:val="18"/>
        </w:rPr>
        <w:t xml:space="preserve">: Section states and what each means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851"/>
        <w:gridCol w:w="627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85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State</w:t>
            </w:r>
          </w:p>
        </w:tc>
        <w:tc>
          <w:tcPr>
            <w:tcW w:type="dxa" w:w="627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Meaning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recorded</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Nothing has been entered and no decision has been taken about the section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Partial</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Entry has begun and is not finished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Complete</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section has been completed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clinically indicated</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has decided the section does not apply to this visit</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distinction between not recorded and not clinically indicated is the whole purpose of holding a section state. A blank field on paper cannot tell the two apart, and recording the difference is what makes a partially completed record auditable rather than merely tolerated.</w:t>
      </w:r>
    </w:p>
    <w:p>
      <w:pPr>
        <w:pStyle w:val="Heading2"/>
        <w:numPr>
          <w:ilvl w:val="1"/>
          <w:numId w:val="2"/>
        </w:numPr>
        <w:spacing w:after="150" w:before="270"/>
        <w:ind w:left="0" w:right="0" w:firstLine="0"/>
        <w:jc w:val="left"/>
      </w:pPr>
      <w:bookmarkStart w:name="h_12" w:id="1"/>
      <w:r>
        <w:rPr>
          <w:rFonts w:ascii="Times New Roman" w:cs="Times New Roman" w:eastAsia="Times New Roman" w:hAnsi="Times New Roman"/>
          <w:b/>
          <w:bCs/>
          <w:i w:val="false"/>
          <w:iCs w:val="false"/>
          <w:color w:val="000000"/>
          <w:sz w:val="24"/>
          <w:szCs w:val="24"/>
        </w:rPr>
        <w:t xml:space="preserve">Visit requirements</w:t>
      </w:r>
      <w:bookmarkEnd w:id="1"/>
    </w:p>
    <w:p>
      <w:pPr>
        <w:pStyle w:val="TableCaption"/>
        <w:spacing w:after="120" w:before="120"/>
        <w:ind w:left="0" w:right="0" w:firstLine="0"/>
        <w:jc w:val="left"/>
      </w:pPr>
      <w:bookmarkStart w:name="tbl_4_2" w:id="1"/>
      <w:r>
        <w:rPr>
          <w:rFonts w:ascii="Times New Roman" w:cs="Times New Roman" w:eastAsia="Times New Roman" w:hAnsi="Times New Roman"/>
          <w:b w:val="false"/>
          <w:bCs w:val="false"/>
          <w:i/>
          <w:iCs/>
          <w:color w:val="000000"/>
          <w:sz w:val="18"/>
          <w:szCs w:val="18"/>
        </w:rPr>
        <w:t xml:space="preserve">Table 4.2</w:t>
      </w:r>
      <w:bookmarkEnd w:id="1"/>
      <w:r>
        <w:rPr>
          <w:rFonts w:ascii="Times New Roman" w:cs="Times New Roman" w:eastAsia="Times New Roman" w:hAnsi="Times New Roman"/>
          <w:b w:val="false"/>
          <w:bCs w:val="false"/>
          <w:i/>
          <w:iCs/>
          <w:color w:val="000000"/>
          <w:sz w:val="18"/>
          <w:szCs w:val="18"/>
        </w:rPr>
        <w:t xml:space="preserve">: Clinic visit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visit records the patient, date, time in and a visit type of walk in, referred by supervisor, emergency or follow up</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record is divided into the twelve sections of the paper form, in the order of that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Each section carries one of the four states in Table 4.1</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number of sections carrying a clinical decision is shown against the visit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Whether the condition is work related is recorded as yes, no or unsure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Vital signs are recorded with their units, and body mass index is derived rather than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vital sign outside the usual range produces a warning and is recorded as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Entry in one section is not lost when the officer moves to another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Signing locks the visit. A signed visit cannot be edited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VIS-10</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correction to a signed visit is an appended amendment that preserves the original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VIS-11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minimal walk in visit is recordable in under two minutes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VIS-12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system records what the officer decided. It does not diagnose, recommend treatment or suggest a clinical action</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VIS-07 deserves its reasoning. A genuinely abnormal reading is exactly the reading that matters clinically, and a system that refuses to record it is worse than paper. The interface warns and the service accepts.</w:t>
      </w:r>
    </w:p>
    <w:p>
      <w:pPr>
        <w:pStyle w:val="Heading1"/>
        <w:numPr>
          <w:ilvl w:val="0"/>
          <w:numId w:val="2"/>
        </w:numPr>
        <w:spacing w:after="170" w:before="300"/>
        <w:ind w:left="0" w:right="0" w:firstLine="0"/>
        <w:jc w:val="left"/>
      </w:pPr>
      <w:bookmarkStart w:name="h_13" w:id="1"/>
      <w:r>
        <w:rPr>
          <w:rFonts w:ascii="Times New Roman" w:cs="Times New Roman" w:eastAsia="Times New Roman" w:hAnsi="Times New Roman"/>
          <w:b/>
          <w:bCs/>
          <w:i w:val="false"/>
          <w:iCs w:val="false"/>
          <w:color w:val="000000"/>
          <w:sz w:val="24"/>
          <w:szCs w:val="24"/>
        </w:rPr>
        <w:t xml:space="preserve">Laboratory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laboratory requisition reproduces form KMC.DQHSE.05/26-FM008. The clinic offers seven investigations in four groups. An earlier draft of this system carried a generic occupational health panel including liver function, lipid profile, audiometry and spirometry. None of that appears on the form the clinic uses, and it has been removed.</w:t>
      </w:r>
    </w:p>
    <w:p>
      <w:pPr>
        <w:pStyle w:val="TableCaption"/>
        <w:spacing w:after="120" w:before="120"/>
        <w:ind w:left="0" w:right="0" w:firstLine="0"/>
        <w:jc w:val="left"/>
      </w:pPr>
      <w:bookmarkStart w:name="tbl_5_1" w:id="1"/>
      <w:r>
        <w:rPr>
          <w:rFonts w:ascii="Times New Roman" w:cs="Times New Roman" w:eastAsia="Times New Roman" w:hAnsi="Times New Roman"/>
          <w:b w:val="false"/>
          <w:bCs w:val="false"/>
          <w:i/>
          <w:iCs/>
          <w:color w:val="000000"/>
          <w:sz w:val="18"/>
          <w:szCs w:val="18"/>
        </w:rPr>
        <w:t xml:space="preserve">Table 5.1</w:t>
      </w:r>
      <w:bookmarkEnd w:id="1"/>
      <w:r>
        <w:rPr>
          <w:rFonts w:ascii="Times New Roman" w:cs="Times New Roman" w:eastAsia="Times New Roman" w:hAnsi="Times New Roman"/>
          <w:b w:val="false"/>
          <w:bCs w:val="false"/>
          <w:i/>
          <w:iCs/>
          <w:color w:val="000000"/>
          <w:sz w:val="18"/>
          <w:szCs w:val="18"/>
        </w:rPr>
        <w:t xml:space="preserve">: Investigations offered on the requisition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851"/>
        <w:gridCol w:w="4182"/>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85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Group</w:t>
            </w:r>
          </w:p>
        </w:tc>
        <w:tc>
          <w:tcPr>
            <w:tcW w:type="dxa" w:w="418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Investigation</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Note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Malaria and parasitology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Blood smear for malaria parasites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Malaria and parasitology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Malaria rapid diagnostic test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Gastrointestinal and serology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Typhoid antigen test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Gastrointestinal and serology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Helicobacter pylori stool antigen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Hematology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Complete blood count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Blood glucose monitoring</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Random blood sugar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Blood glucose monitoring</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Fasting blood sugar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Requires 8 to 12 hours of fasting</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Two properties of the form drive the design and both differ from what a laboratory module is usually assumed to do. The results column sits beside the requested investigations column, so a result belongs to a requested investigation on one sheet rather than to a separate analyte record. The form carries no units and no reference ranges, so a result is recorded exactly as the laboratory reported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There is therefore no automatic abnormality flag. Deciding that a value is abnormal requires a reference range that KMC has not defined, and inventing one would place a clinical judgement in the software. Whether the laboratory wishes to supply structured ranges is recorded as an open decision in Section 8 rather than answered here.</w:t>
      </w:r>
    </w:p>
    <w:p>
      <w:pPr>
        <w:pStyle w:val="TableCaption"/>
        <w:spacing w:after="120" w:before="120"/>
        <w:ind w:left="0" w:right="0" w:firstLine="0"/>
        <w:jc w:val="left"/>
      </w:pPr>
      <w:bookmarkStart w:name="tbl_5_2" w:id="1"/>
      <w:r>
        <w:rPr>
          <w:rFonts w:ascii="Times New Roman" w:cs="Times New Roman" w:eastAsia="Times New Roman" w:hAnsi="Times New Roman"/>
          <w:b w:val="false"/>
          <w:bCs w:val="false"/>
          <w:i/>
          <w:iCs/>
          <w:color w:val="000000"/>
          <w:sz w:val="18"/>
          <w:szCs w:val="18"/>
        </w:rPr>
        <w:t xml:space="preserve">Table 5.2</w:t>
      </w:r>
      <w:bookmarkEnd w:id="1"/>
      <w:r>
        <w:rPr>
          <w:rFonts w:ascii="Times New Roman" w:cs="Times New Roman" w:eastAsia="Times New Roman" w:hAnsi="Times New Roman"/>
          <w:b w:val="false"/>
          <w:bCs w:val="false"/>
          <w:i/>
          <w:iCs/>
          <w:color w:val="000000"/>
          <w:sz w:val="18"/>
          <w:szCs w:val="18"/>
        </w:rPr>
        <w:t xml:space="preserve">: Laboratory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requisition is raised from a visit, and patient information is carried across rather than typed again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 information on the requisition is a snapshot taken when the requisition is raised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selects one or more of the seven investigations printed on the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fasting instruction printed against fasting blood sugar is shown wherever that investigation appears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requisition records a clinical summary and the authorising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laboratory records the specimen collected, who collected it and the time of collection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result is recorded against the investigation it was requested for, as written by the laboratory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status of a requisition follows what has been recorded, so it cannot disagree with the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requisition is downloadable as a document reproducing the printed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LAB-10</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investigation not printed on the form is refused</w:t>
            </w:r>
          </w:p>
        </w:tc>
      </w:tr>
    </w:tbl>
    <w:p>
      <w:pPr>
        <w:pStyle w:val="Heading1"/>
        <w:numPr>
          <w:ilvl w:val="0"/>
          <w:numId w:val="2"/>
        </w:numPr>
        <w:spacing w:after="170" w:before="300"/>
        <w:ind w:left="0" w:right="0" w:firstLine="0"/>
        <w:jc w:val="left"/>
      </w:pPr>
      <w:bookmarkStart w:name="h_14" w:id="1"/>
      <w:r>
        <w:rPr>
          <w:rFonts w:ascii="Times New Roman" w:cs="Times New Roman" w:eastAsia="Times New Roman" w:hAnsi="Times New Roman"/>
          <w:b/>
          <w:bCs/>
          <w:i w:val="false"/>
          <w:iCs w:val="false"/>
          <w:color w:val="000000"/>
          <w:sz w:val="24"/>
          <w:szCs w:val="24"/>
        </w:rPr>
        <w:t xml:space="preserve">Referrals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referral reproduces form KMC.DQHSE.02/26-FM004. It is implemented in the clinical service and in the signed-in interface. A referral is raised from a visit, passes through infirmary clearance and authorisation, is issued to the receiving facility, and is closed when the facility responds and the clinic reviews that response.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Patient identity and vital signs are derived by the service from a database join between the patient and visit. The join also proves that the visit belongs to the stated patient. This prevents a stale browser tab from filing one person's identity and vital signs against another person's attendance.</w:t>
      </w:r>
    </w:p>
    <w:p>
      <w:pPr>
        <w:pStyle w:val="TableCaption"/>
        <w:spacing w:after="120" w:before="120"/>
        <w:ind w:left="0" w:right="0" w:firstLine="0"/>
        <w:jc w:val="left"/>
      </w:pPr>
      <w:bookmarkStart w:name="tbl_6_1" w:id="1"/>
      <w:r>
        <w:rPr>
          <w:rFonts w:ascii="Times New Roman" w:cs="Times New Roman" w:eastAsia="Times New Roman" w:hAnsi="Times New Roman"/>
          <w:b w:val="false"/>
          <w:bCs w:val="false"/>
          <w:i/>
          <w:iCs/>
          <w:color w:val="000000"/>
          <w:sz w:val="18"/>
          <w:szCs w:val="18"/>
        </w:rPr>
        <w:t xml:space="preserve">Table 6.1</w:t>
      </w:r>
      <w:bookmarkEnd w:id="1"/>
      <w:r>
        <w:rPr>
          <w:rFonts w:ascii="Times New Roman" w:cs="Times New Roman" w:eastAsia="Times New Roman" w:hAnsi="Times New Roman"/>
          <w:b w:val="false"/>
          <w:bCs w:val="false"/>
          <w:i/>
          <w:iCs/>
          <w:color w:val="000000"/>
          <w:sz w:val="18"/>
          <w:szCs w:val="18"/>
        </w:rPr>
        <w:t xml:space="preserve">: Referral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referral is raised from a visit. Patient identity and vital signs are derived server side from records joined on the patient and visit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referral records clinical features, findings, general examination and past medical history as the form sets them out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referral records the occupational consideration and the reason for referral</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referral carries a lifecycle of drafted, authorised, issued, returned and reviewed, moving forward one state at a time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receiving facility response records diagnosis, treatment, follow up and any recommended sick leave. A correction keeps the referral reviewed and increments its version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Recommended sick leave reaches health related absenteeism through a transactional outbox without carrying patient identity or clinical narrative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REF-07</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referral is downloadable as a document reproducing the printed form</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in the browser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REF-08</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duplicate Section E labels, missing Section D and older role wording remain as printed until Document Control authorises a revision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with DEC-025 and DEC-026 open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REF-09</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management role may retrieve a referral or its authorisation summary until DEC-024 resolves the conflict between the form and the clinical access rule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as officer-only access</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REF-06 matters more than it appears. Without it the referral is a document store rather than a part of the system, and the absenteeism figure loses a source it should have.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Section C still requires a decision. The printed form asks the Head of Division and the Chief of Staff to sign a document containing a provisional diagnosis, HIV status and mental health condition. That cannot stand alongside the rule in Section 2.2 that no management role sees an individual clinical record. The service can assemble a minimum-disclosure summary, but that route is officer-only and no management role can open referral content while DEC-024 remains unresolved.</w:t>
      </w:r>
    </w:p>
    <w:p>
      <w:pPr>
        <w:pStyle w:val="Heading1"/>
        <w:numPr>
          <w:ilvl w:val="0"/>
          <w:numId w:val="2"/>
        </w:numPr>
        <w:spacing w:after="170" w:before="300"/>
        <w:ind w:left="0" w:right="0" w:firstLine="0"/>
        <w:jc w:val="left"/>
      </w:pPr>
      <w:bookmarkStart w:name="h_15" w:id="1"/>
      <w:r>
        <w:rPr>
          <w:rFonts w:ascii="Times New Roman" w:cs="Times New Roman" w:eastAsia="Times New Roman" w:hAnsi="Times New Roman"/>
          <w:b/>
          <w:bCs/>
          <w:i w:val="false"/>
          <w:iCs w:val="false"/>
          <w:color w:val="000000"/>
          <w:sz w:val="24"/>
          <w:szCs w:val="24"/>
        </w:rPr>
        <w:t xml:space="preserve">Patient history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An officer meeting a patient asks one question before any other, which is what has happened to this person. Answering it from three separate registers, one for visits, one for laboratory and one for referrals, requires the officer to filter each and hold the join in their head. The records are already related, because a requisition and a referral are each raised from a visit, and presenting them as unrelated lists throws that relationship away at the moment it matters.</w:t>
      </w:r>
    </w:p>
    <w:p>
      <w:pPr>
        <w:spacing w:after="60" w:before="160" w:line="240" w:lineRule="auto"/>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48025"/>
                    </a:xfrm>
                    <a:prstGeom prst="rect">
                      <a:avLst/>
                    </a:prstGeom>
                  </pic:spPr>
                </pic:pic>
              </a:graphicData>
            </a:graphic>
          </wp:inline>
        </w:drawing>
      </w:r>
    </w:p>
    <w:p>
      <w:pPr>
        <w:pStyle w:val="FigureCaption"/>
        <w:spacing w:after="120" w:before="120"/>
        <w:ind w:left="0" w:right="0" w:firstLine="0"/>
        <w:jc w:val="left"/>
      </w:pPr>
      <w:bookmarkStart w:name="fig_7_1" w:id="1"/>
      <w:r>
        <w:rPr>
          <w:rFonts w:ascii="Times New Roman" w:cs="Times New Roman" w:eastAsia="Times New Roman" w:hAnsi="Times New Roman"/>
          <w:b w:val="false"/>
          <w:bCs w:val="false"/>
          <w:i/>
          <w:iCs/>
          <w:color w:val="000000"/>
          <w:sz w:val="18"/>
          <w:szCs w:val="18"/>
        </w:rPr>
        <w:t xml:space="preserve">Figure 7.1</w:t>
      </w:r>
      <w:bookmarkEnd w:id="1"/>
      <w:r>
        <w:rPr>
          <w:rFonts w:ascii="Times New Roman" w:cs="Times New Roman" w:eastAsia="Times New Roman" w:hAnsi="Times New Roman"/>
          <w:b w:val="false"/>
          <w:bCs w:val="false"/>
          <w:i/>
          <w:iCs/>
          <w:color w:val="000000"/>
          <w:sz w:val="18"/>
          <w:szCs w:val="18"/>
        </w:rPr>
        <w:t xml:space="preserve">: Organisation of the patient record</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organisation in </w:t>
      </w:r>
      <w:fldSimple w:instr="REF fig_7_1 \h">
        <w:r>
          <w:t xml:space="preserve">Figure 7.1</w:t>
        </w:r>
      </w:fldSimple>
      <w:r>
        <w:rPr>
          <w:rFonts w:ascii="Times New Roman" w:cs="Times New Roman" w:eastAsia="Times New Roman" w:hAnsi="Times New Roman"/>
          <w:b w:val="false"/>
          <w:bCs w:val="false"/>
          <w:i w:val="false"/>
          <w:iCs w:val="false"/>
          <w:color w:val="000000"/>
          <w:sz w:val="24"/>
          <w:szCs w:val="24"/>
        </w:rPr>
        <w:t xml:space="preserve"> takes the visit as the unit of the record, because that is how the clinical work actually happened.</w:t>
      </w:r>
    </w:p>
    <w:p>
      <w:pPr>
        <w:pStyle w:val="TableCaption"/>
        <w:spacing w:after="120" w:before="120"/>
        <w:ind w:left="0" w:right="0" w:firstLine="0"/>
        <w:jc w:val="left"/>
      </w:pPr>
      <w:bookmarkStart w:name="tbl_7_1" w:id="1"/>
      <w:r>
        <w:rPr>
          <w:rFonts w:ascii="Times New Roman" w:cs="Times New Roman" w:eastAsia="Times New Roman" w:hAnsi="Times New Roman"/>
          <w:b w:val="false"/>
          <w:bCs w:val="false"/>
          <w:i/>
          <w:iCs/>
          <w:color w:val="000000"/>
          <w:sz w:val="18"/>
          <w:szCs w:val="18"/>
        </w:rPr>
        <w:t xml:space="preserve">Table 7.1</w:t>
      </w:r>
      <w:bookmarkEnd w:id="1"/>
      <w:r>
        <w:rPr>
          <w:rFonts w:ascii="Times New Roman" w:cs="Times New Roman" w:eastAsia="Times New Roman" w:hAnsi="Times New Roman"/>
          <w:b w:val="false"/>
          <w:bCs w:val="false"/>
          <w:i/>
          <w:iCs/>
          <w:color w:val="000000"/>
          <w:sz w:val="18"/>
          <w:szCs w:val="18"/>
        </w:rPr>
        <w:t xml:space="preserve">: Patient history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patient record shows identity, what is outstanding, how much history exists, and the history itself</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History is presented newest first, with one entry per visit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Requisitions and referrals appear inside the visit they were raised from</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Each visit entry quotes the presenting complaint, the impression and the treatment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Outstanding items are shown only when something is outstanding</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requisition or referral whose visit is outside the loaded range is listed separately rather than omitted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HIS-07</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Opening a patient record writes one entry to the access log, not one per register consulted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HIS-08</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may download a patient history summary containing signed visits only and a filename containing no patient name or identifier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in the browser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HIS-09</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patient history download creates a distinct export access event before the file is generated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built, DEC-037 is open</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HIS-05 exists because a permanent banner reading that nothing is outstanding teaches people to stop reading banners, and the one occasion it matters is the occasion it is scrolled past.</w:t>
      </w:r>
    </w:p>
    <w:p>
      <w:pPr>
        <w:pStyle w:val="Heading1"/>
        <w:numPr>
          <w:ilvl w:val="0"/>
          <w:numId w:val="2"/>
        </w:numPr>
        <w:spacing w:after="170" w:before="300"/>
        <w:ind w:left="0" w:right="0" w:firstLine="0"/>
        <w:jc w:val="left"/>
      </w:pPr>
      <w:bookmarkStart w:name="h_16" w:id="1"/>
      <w:r>
        <w:rPr>
          <w:rFonts w:ascii="Times New Roman" w:cs="Times New Roman" w:eastAsia="Times New Roman" w:hAnsi="Times New Roman"/>
          <w:b/>
          <w:bCs/>
          <w:i w:val="false"/>
          <w:iCs w:val="false"/>
          <w:color w:val="000000"/>
          <w:sz w:val="24"/>
          <w:szCs w:val="24"/>
        </w:rPr>
        <w:t xml:space="preserve">Divisional performance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operational registers and the dashboard are implemented. The dashboard presents the indicators the division reports for the selected month and for the year to date. Every figure states its provenance, because a figure that cannot be traced to a record or an attributed return cannot be defended when it is questioned.</w:t>
      </w:r>
    </w:p>
    <w:p>
      <w:pPr>
        <w:pStyle w:val="Heading2"/>
        <w:numPr>
          <w:ilvl w:val="1"/>
          <w:numId w:val="2"/>
        </w:numPr>
        <w:spacing w:after="150" w:before="270"/>
        <w:ind w:left="0" w:right="0" w:firstLine="0"/>
        <w:jc w:val="left"/>
      </w:pPr>
      <w:bookmarkStart w:name="h_17" w:id="1"/>
      <w:r>
        <w:rPr>
          <w:rFonts w:ascii="Times New Roman" w:cs="Times New Roman" w:eastAsia="Times New Roman" w:hAnsi="Times New Roman"/>
          <w:b/>
          <w:bCs/>
          <w:i w:val="false"/>
          <w:iCs w:val="false"/>
          <w:color w:val="000000"/>
          <w:sz w:val="24"/>
          <w:szCs w:val="24"/>
        </w:rPr>
        <w:t xml:space="preserve">Effective-dated reference data</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KPI targets and industrial hygiene limits are held by the admin service as dated rows. A new value closes the row it replaces and opens another from its effective date. The target or limit itself is not overwritten, because doing so would make a historical report change when it is run again.</w:t>
      </w:r>
    </w:p>
    <w:p>
      <w:pPr>
        <w:pStyle w:val="TableCaption"/>
        <w:spacing w:after="120" w:before="120"/>
        <w:ind w:left="0" w:right="0" w:firstLine="0"/>
        <w:jc w:val="left"/>
      </w:pPr>
      <w:bookmarkStart w:name="tbl_8_1" w:id="1"/>
      <w:r>
        <w:rPr>
          <w:rFonts w:ascii="Times New Roman" w:cs="Times New Roman" w:eastAsia="Times New Roman" w:hAnsi="Times New Roman"/>
          <w:b w:val="false"/>
          <w:bCs w:val="false"/>
          <w:i/>
          <w:iCs/>
          <w:color w:val="000000"/>
          <w:sz w:val="18"/>
          <w:szCs w:val="18"/>
        </w:rPr>
        <w:t xml:space="preserve">Table 8.1</w:t>
      </w:r>
      <w:bookmarkEnd w:id="1"/>
      <w:r>
        <w:rPr>
          <w:rFonts w:ascii="Times New Roman" w:cs="Times New Roman" w:eastAsia="Times New Roman" w:hAnsi="Times New Roman"/>
          <w:b w:val="false"/>
          <w:bCs w:val="false"/>
          <w:i/>
          <w:iCs/>
          <w:color w:val="000000"/>
          <w:sz w:val="18"/>
          <w:szCs w:val="18"/>
        </w:rPr>
        <w:t xml:space="preserve">: Reference data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KPI target records its value, comparison, direction, approaching boundary, source, approval state and effective period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industrial hygiene limit records its parameter, context, value, unit, averaging period, standard, source, approval state and effective period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Consumers resolve the row in force on the date being evaluated, rather than the row current today</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Superseding reference data closes the current row and creates a new dated row, so prior values remain available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authorised owner may change reference data without a code release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API built for the manager. Ownership and a screen remain open at DEC-035</w:t>
            </w:r>
          </w:p>
        </w:tc>
      </w:tr>
    </w:tbl>
    <w:p>
      <w:pPr>
        <w:pStyle w:val="Heading2"/>
        <w:numPr>
          <w:ilvl w:val="1"/>
          <w:numId w:val="2"/>
        </w:numPr>
        <w:spacing w:after="150" w:before="270"/>
        <w:ind w:left="0" w:right="0" w:firstLine="0"/>
        <w:jc w:val="left"/>
      </w:pPr>
      <w:bookmarkStart w:name="h_18" w:id="1"/>
      <w:r>
        <w:rPr>
          <w:rFonts w:ascii="Times New Roman" w:cs="Times New Roman" w:eastAsia="Times New Roman" w:hAnsi="Times New Roman"/>
          <w:b/>
          <w:bCs/>
          <w:i w:val="false"/>
          <w:iCs w:val="false"/>
          <w:color w:val="000000"/>
          <w:sz w:val="24"/>
          <w:szCs w:val="24"/>
        </w:rPr>
        <w:t xml:space="preserve">Ergonomics and wellness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Ergonomic assessments and their corrective actions are implemented in the occupational service and in the interface. The dashboard measures follow-through rather than the assessment outcome, because finding a problem is not the same as closing the action raised from it.</w:t>
      </w:r>
    </w:p>
    <w:p>
      <w:pPr>
        <w:pStyle w:val="TableCaption"/>
        <w:spacing w:after="120" w:before="120"/>
        <w:ind w:left="0" w:right="0" w:firstLine="0"/>
        <w:jc w:val="left"/>
      </w:pPr>
      <w:bookmarkStart w:name="tbl_8_2" w:id="1"/>
      <w:r>
        <w:rPr>
          <w:rFonts w:ascii="Times New Roman" w:cs="Times New Roman" w:eastAsia="Times New Roman" w:hAnsi="Times New Roman"/>
          <w:b w:val="false"/>
          <w:bCs w:val="false"/>
          <w:i/>
          <w:iCs/>
          <w:color w:val="000000"/>
          <w:sz w:val="18"/>
          <w:szCs w:val="18"/>
        </w:rPr>
        <w:t xml:space="preserve">Table 8.2</w:t>
      </w:r>
      <w:bookmarkEnd w:id="1"/>
      <w:r>
        <w:rPr>
          <w:rFonts w:ascii="Times New Roman" w:cs="Times New Roman" w:eastAsia="Times New Roman" w:hAnsi="Times New Roman"/>
          <w:b w:val="false"/>
          <w:bCs w:val="false"/>
          <w:i/>
          <w:iCs/>
          <w:color w:val="000000"/>
          <w:sz w:val="18"/>
          <w:szCs w:val="18"/>
        </w:rPr>
        <w:t xml:space="preserve">: Ergonomics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assessment records its date, workstation, work type, assessor, outcome and findings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outcome is compliant, partially compliant or non-compliant, because the middle position is a distinct assessment result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assessment may create corrective actions with a description, owner and due date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action records open, implemented or closed status, and a closed action records its closure date and evidence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Ergonomic risk control is actions closed on or before their due date divided by actions due in the reporting month</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Formula and target remain confirmation-pending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writes the register and the manager reads it without write access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bl>
    <w:p>
      <w:pPr>
        <w:pStyle w:val="Heading2"/>
        <w:numPr>
          <w:ilvl w:val="1"/>
          <w:numId w:val="2"/>
        </w:numPr>
        <w:spacing w:after="150" w:before="270"/>
        <w:ind w:left="0" w:right="0" w:firstLine="0"/>
        <w:jc w:val="left"/>
      </w:pPr>
      <w:bookmarkStart w:name="h_19" w:id="1"/>
      <w:r>
        <w:rPr>
          <w:rFonts w:ascii="Times New Roman" w:cs="Times New Roman" w:eastAsia="Times New Roman" w:hAnsi="Times New Roman"/>
          <w:b/>
          <w:bCs/>
          <w:i w:val="false"/>
          <w:iCs w:val="false"/>
          <w:color w:val="000000"/>
          <w:sz w:val="24"/>
          <w:szCs w:val="24"/>
        </w:rPr>
        <w:t xml:space="preserve">Industrial hygiene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Monitoring events and readings are implemented in the occupational service and in the interface. Completeness is kept separate from compliance, because a unit must not appear more compliant merely by performing less monitoring.</w:t>
      </w:r>
    </w:p>
    <w:p>
      <w:pPr>
        <w:pStyle w:val="TableCaption"/>
        <w:spacing w:after="120" w:before="120"/>
        <w:ind w:left="0" w:right="0" w:firstLine="0"/>
        <w:jc w:val="left"/>
      </w:pPr>
      <w:bookmarkStart w:name="tbl_8_3" w:id="1"/>
      <w:r>
        <w:rPr>
          <w:rFonts w:ascii="Times New Roman" w:cs="Times New Roman" w:eastAsia="Times New Roman" w:hAnsi="Times New Roman"/>
          <w:b w:val="false"/>
          <w:bCs w:val="false"/>
          <w:i/>
          <w:iCs/>
          <w:color w:val="000000"/>
          <w:sz w:val="18"/>
          <w:szCs w:val="18"/>
        </w:rPr>
        <w:t xml:space="preserve">Table 8.3</w:t>
      </w:r>
      <w:bookmarkEnd w:id="1"/>
      <w:r>
        <w:rPr>
          <w:rFonts w:ascii="Times New Roman" w:cs="Times New Roman" w:eastAsia="Times New Roman" w:hAnsi="Times New Roman"/>
          <w:b w:val="false"/>
          <w:bCs w:val="false"/>
          <w:i/>
          <w:iCs/>
          <w:color w:val="000000"/>
          <w:sz w:val="18"/>
          <w:szCs w:val="18"/>
        </w:rPr>
        <w:t xml:space="preserve">: Industrial hygiene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monitoring event records the month, date, location, instrument, notes and whether it was performed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event not performed records a reason and cannot receive readings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reading records the parameter, value, monitoring context and the date on which it was taken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service resolves the limit in force on the reading date and copies the reference identifier, value, unit, averaging period and standard onto the reading</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compliance result is written from that copied limit and a database trigger prevents later changes to the measurement, snapshot or result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reading outside the monitoring plan remains in the register but may be excluded from the KPI denominator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HYG-07</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writes the register and the manager reads it without write access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bl>
    <w:p>
      <w:pPr>
        <w:pStyle w:val="Heading2"/>
        <w:numPr>
          <w:ilvl w:val="1"/>
          <w:numId w:val="2"/>
        </w:numPr>
        <w:spacing w:after="150" w:before="270"/>
        <w:ind w:left="0" w:right="0" w:firstLine="0"/>
        <w:jc w:val="left"/>
      </w:pPr>
      <w:bookmarkStart w:name="h_20" w:id="1"/>
      <w:r>
        <w:rPr>
          <w:rFonts w:ascii="Times New Roman" w:cs="Times New Roman" w:eastAsia="Times New Roman" w:hAnsi="Times New Roman"/>
          <w:b/>
          <w:bCs/>
          <w:i w:val="false"/>
          <w:iCs w:val="false"/>
          <w:color w:val="000000"/>
          <w:sz w:val="24"/>
          <w:szCs w:val="24"/>
        </w:rPr>
        <w:t xml:space="preserve">Monthly returns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monthly occupational plan and the attributed return are implemented on one monthly returns page because the officer must see the operational counts, Human Resources figures, safety figures and linked referral leave together before reviewing the resulting rates. They remain separate records and each correction keeps its former value and the reason.</w:t>
      </w:r>
    </w:p>
    <w:p>
      <w:pPr>
        <w:pStyle w:val="TableCaption"/>
        <w:spacing w:after="120" w:before="120"/>
        <w:ind w:left="0" w:right="0" w:firstLine="0"/>
        <w:jc w:val="left"/>
      </w:pPr>
      <w:bookmarkStart w:name="tbl_8_4" w:id="1"/>
      <w:r>
        <w:rPr>
          <w:rFonts w:ascii="Times New Roman" w:cs="Times New Roman" w:eastAsia="Times New Roman" w:hAnsi="Times New Roman"/>
          <w:b w:val="false"/>
          <w:bCs w:val="false"/>
          <w:i/>
          <w:iCs/>
          <w:color w:val="000000"/>
          <w:sz w:val="18"/>
          <w:szCs w:val="18"/>
        </w:rPr>
        <w:t xml:space="preserve">Table 8.4</w:t>
      </w:r>
      <w:bookmarkEnd w:id="1"/>
      <w:r>
        <w:rPr>
          <w:rFonts w:ascii="Times New Roman" w:cs="Times New Roman" w:eastAsia="Times New Roman" w:hAnsi="Times New Roman"/>
          <w:b w:val="false"/>
          <w:bCs w:val="false"/>
          <w:i/>
          <w:iCs/>
          <w:color w:val="000000"/>
          <w:sz w:val="18"/>
          <w:szCs w:val="18"/>
        </w:rPr>
        <w:t xml:space="preserve">: Monthly return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occupational plan records planned hygiene events, planned ergonomic assessments and confirmed occupational disease cases for the month</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Placement and ownership remain open at DEC-036</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return records other health related lost days, month-end headcount, surveillance scheduled and completed, and the source of those figures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Fatalities, recordable incidents, recordable injuries and reportable near misses are optional attributed figures with a named source. Blank means No data</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Authoritative ownership remains open at DEC-027</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Correcting a plan or return requires a reason and keeps the prior row with who corrected it and when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entry page computes absenteeism and surveillance rates while figures are typed, while the dashboard recomputes from stored inputs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Linked referral leave is shown separately and is not re-keyed into the return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RET-07</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workplace safety incident register is provided while the authoritative system and owner are unresolved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as an intentional absence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RET-08</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writes the return and the manager reads it without write access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bl>
    <w:p>
      <w:pPr>
        <w:pStyle w:val="Heading2"/>
        <w:numPr>
          <w:ilvl w:val="1"/>
          <w:numId w:val="2"/>
        </w:numPr>
        <w:spacing w:after="150" w:before="270"/>
        <w:ind w:left="0" w:right="0" w:firstLine="0"/>
        <w:jc w:val="left"/>
      </w:pPr>
      <w:bookmarkStart w:name="h_21" w:id="1"/>
      <w:r>
        <w:rPr>
          <w:rFonts w:ascii="Times New Roman" w:cs="Times New Roman" w:eastAsia="Times New Roman" w:hAnsi="Times New Roman"/>
          <w:b/>
          <w:bCs/>
          <w:i w:val="false"/>
          <w:iCs w:val="false"/>
          <w:color w:val="000000"/>
          <w:sz w:val="24"/>
          <w:szCs w:val="24"/>
        </w:rPr>
        <w:t xml:space="preserve">KPI dashboard</w:t>
      </w:r>
      <w:bookmarkEnd w:id="1"/>
    </w:p>
    <w:p>
      <w:pPr>
        <w:pStyle w:val="TableCaption"/>
        <w:spacing w:after="120" w:before="120"/>
        <w:ind w:left="0" w:right="0" w:firstLine="0"/>
        <w:jc w:val="left"/>
      </w:pPr>
      <w:bookmarkStart w:name="tbl_8_5" w:id="1"/>
      <w:r>
        <w:rPr>
          <w:rFonts w:ascii="Times New Roman" w:cs="Times New Roman" w:eastAsia="Times New Roman" w:hAnsi="Times New Roman"/>
          <w:b w:val="false"/>
          <w:bCs w:val="false"/>
          <w:i/>
          <w:iCs/>
          <w:color w:val="000000"/>
          <w:sz w:val="18"/>
          <w:szCs w:val="18"/>
        </w:rPr>
        <w:t xml:space="preserve">Table 8.5</w:t>
      </w:r>
      <w:bookmarkEnd w:id="1"/>
      <w:r>
        <w:rPr>
          <w:rFonts w:ascii="Times New Roman" w:cs="Times New Roman" w:eastAsia="Times New Roman" w:hAnsi="Times New Roman"/>
          <w:b w:val="false"/>
          <w:bCs w:val="false"/>
          <w:i/>
          <w:iCs/>
          <w:color w:val="000000"/>
          <w:sz w:val="18"/>
          <w:szCs w:val="18"/>
        </w:rPr>
        <w:t xml:space="preserve">: Nine dashboard indicators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855"/>
        <w:gridCol w:w="2471"/>
        <w:gridCol w:w="2091"/>
        <w:gridCol w:w="1616"/>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85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Identifier</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Indicator</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Current stored target</w:t>
            </w:r>
          </w:p>
        </w:tc>
        <w:tc>
          <w:tcPr>
            <w:tcW w:type="dxa" w:w="161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Direction</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Source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OH1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Surveillance compliance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100 per cent</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Monthly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OH2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Occupational disease cases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Zero</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Occupational plan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OH3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Industrial hygiene compliance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 least 95 per cent</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Eligible readings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OH4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Ergonomic risk control</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 least 95 per cent</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Actions due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Fatality</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Zero</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Attributed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Total recordable incidents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Zero</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Attributed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Total recordable injuries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Zero</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Attributed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Reportable near misses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 least 200</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Attributed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related absenteeism</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Under 0.5 days per person</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Monthly return plus referral leave</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safety indicator set and directions come from the client dashboard. The current database rows also carry values from the reviewed prototype. They are marked confirmation-pending rather than approved, because review of a prototype did not authorise a threshold or assign its owner.</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Two properties of this indicator set are easy to get wrong and are stated as requirements. Fatalities and injuries count people, while recordable incidents and near misses count events, because one event injuring three people is one incident and three injuries. Reportable near misses is the one indicator where a rising number is good, because more near miss reports mean people are reporting, and a dashboard that appears to punish reporting will be given silence.</w:t>
      </w:r>
    </w:p>
    <w:p>
      <w:pPr>
        <w:pStyle w:val="TableCaption"/>
        <w:spacing w:after="120" w:before="120"/>
        <w:ind w:left="0" w:right="0" w:firstLine="0"/>
        <w:jc w:val="left"/>
      </w:pPr>
      <w:bookmarkStart w:name="tbl_8_6" w:id="1"/>
      <w:r>
        <w:rPr>
          <w:rFonts w:ascii="Times New Roman" w:cs="Times New Roman" w:eastAsia="Times New Roman" w:hAnsi="Times New Roman"/>
          <w:b w:val="false"/>
          <w:bCs w:val="false"/>
          <w:i/>
          <w:iCs/>
          <w:color w:val="000000"/>
          <w:sz w:val="18"/>
          <w:szCs w:val="18"/>
        </w:rPr>
        <w:t xml:space="preserve">Table 8.6</w:t>
      </w:r>
      <w:bookmarkEnd w:id="1"/>
      <w:r>
        <w:rPr>
          <w:rFonts w:ascii="Times New Roman" w:cs="Times New Roman" w:eastAsia="Times New Roman" w:hAnsi="Times New Roman"/>
          <w:b w:val="false"/>
          <w:bCs w:val="false"/>
          <w:i/>
          <w:iCs/>
          <w:color w:val="000000"/>
          <w:sz w:val="18"/>
          <w:szCs w:val="18"/>
        </w:rPr>
        <w:t xml:space="preserve">: Dashboard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indicator is shown with its value for the month, its year-to-date value, its target and its status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indicator states its provenance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indicator with no underlying data reads no data, and never zero</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data is presented as a distinct state and never styled as a failure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direction of each indicator is labelled, including where a rising number is good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target whose owner has not approved it is labelled proposed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status is conveyed by colour alone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Figures derived from clinical records are aggregates only and never identify a patient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complete year-to-date history totals count indicators and recomputes rate indicators from summed numerators and denominators. An incomplete history shows no figure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DSH-10</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selected month leads with off-target and approaching exceptions, while missing data is counted separately as entry outstanding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DSH-11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Each indicator shows its monthly trend from January, and a missing month breaks the trend rather than being interpolated</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DSH-03 is the reason the system exists. A dashboard that shows zero where it means it does not know is worse than one that shows nothing, because the reader acts on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DSH-09 records the implementation, but it is not yet a settled client requirement. The current requirements draft calls every year-to-date cell a monthly average. The client-reviewed prototype totals OH2 and S1 to S4, then recomputes OH1, OH3, OH4 and S5 from summed inputs. The implementation follows the prototype because counts accumulate and rates should preserve their denominators. These are two client-facing positions with different meanings, so the Health and Wellness division must resolve DEC-032 before either wording is treated as approved.</w:t>
      </w:r>
    </w:p>
    <w:p>
      <w:pPr>
        <w:pStyle w:val="Heading1"/>
        <w:numPr>
          <w:ilvl w:val="0"/>
          <w:numId w:val="2"/>
        </w:numPr>
        <w:spacing w:after="170" w:before="300"/>
        <w:ind w:left="0" w:right="0" w:firstLine="0"/>
        <w:jc w:val="left"/>
      </w:pPr>
      <w:bookmarkStart w:name="h_22" w:id="1"/>
      <w:r>
        <w:rPr>
          <w:rFonts w:ascii="Times New Roman" w:cs="Times New Roman" w:eastAsia="Times New Roman" w:hAnsi="Times New Roman"/>
          <w:b/>
          <w:bCs/>
          <w:i w:val="false"/>
          <w:iCs w:val="false"/>
          <w:color w:val="000000"/>
          <w:sz w:val="24"/>
          <w:szCs w:val="24"/>
        </w:rPr>
        <w:t xml:space="preserve">Non-functional requirements</w:t>
      </w:r>
      <w:bookmarkEnd w:id="1"/>
    </w:p>
    <w:p>
      <w:pPr>
        <w:pStyle w:val="TableCaption"/>
        <w:spacing w:after="120" w:before="120"/>
        <w:ind w:left="0" w:right="0" w:firstLine="0"/>
        <w:jc w:val="left"/>
      </w:pPr>
      <w:bookmarkStart w:name="tbl_9_1" w:id="1"/>
      <w:r>
        <w:rPr>
          <w:rFonts w:ascii="Times New Roman" w:cs="Times New Roman" w:eastAsia="Times New Roman" w:hAnsi="Times New Roman"/>
          <w:b w:val="false"/>
          <w:bCs w:val="false"/>
          <w:i/>
          <w:iCs/>
          <w:color w:val="000000"/>
          <w:sz w:val="18"/>
          <w:szCs w:val="18"/>
        </w:rPr>
        <w:t xml:space="preserve">Table 9.1</w:t>
      </w:r>
      <w:bookmarkEnd w:id="1"/>
      <w:r>
        <w:rPr>
          <w:rFonts w:ascii="Times New Roman" w:cs="Times New Roman" w:eastAsia="Times New Roman" w:hAnsi="Times New Roman"/>
          <w:b w:val="false"/>
          <w:bCs w:val="false"/>
          <w:i/>
          <w:iCs/>
          <w:color w:val="000000"/>
          <w:sz w:val="18"/>
          <w:szCs w:val="18"/>
        </w:rPr>
        <w:t xml:space="preserve">: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091"/>
        <w:gridCol w:w="703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Area</w:t>
            </w:r>
          </w:p>
        </w:tc>
        <w:tc>
          <w:tcPr>
            <w:tcW w:type="dxa" w:w="703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Security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All traffic encrypted in transit. The clinical database encrypted at rest with a key distinct from other data</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Privacy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data is special personal data and does not leave KMC controlled infrastructure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Privacy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 production environments contain synthetic data only and never a real clinical record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Privacy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Ordinary request and panic logs record a route template rather than a concrete clinical path, so record identifiers do not enter service logs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Availability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Loss of the system must not prevent clinical treatment. A printable form and retrospective entry are available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Recovery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Nightly encrypted backup, with a restore tested and recorded quarterly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Usability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user familiar with the paper form completes a routine visit after one orientation session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Usability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error message states the corrective action rather than only reporting failure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Accessibility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interface is operable by keyboard, with visible focus and labelled fields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Maintainability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Limits, targets and reference data are changeable without a code release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Maintainability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Database changes are applied through versioned migrations held in source control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Auditability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reported figure is traceable to the records or the return that produced 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Branding</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identity provider sign-in pages and the signed-in shell carry KMC branding, while the final product name remains open at DEC-028</w:t>
            </w:r>
          </w:p>
        </w:tc>
      </w:tr>
    </w:tbl>
    <w:p>
      <w:pPr>
        <w:pStyle w:val="Heading1"/>
        <w:numPr>
          <w:ilvl w:val="0"/>
          <w:numId w:val="2"/>
        </w:numPr>
        <w:spacing w:after="170" w:before="300"/>
        <w:ind w:left="0" w:right="0" w:firstLine="0"/>
        <w:jc w:val="left"/>
      </w:pPr>
      <w:bookmarkStart w:name="h_23" w:id="1"/>
      <w:r>
        <w:rPr>
          <w:rFonts w:ascii="Times New Roman" w:cs="Times New Roman" w:eastAsia="Times New Roman" w:hAnsi="Times New Roman"/>
          <w:b/>
          <w:bCs/>
          <w:i w:val="false"/>
          <w:iCs w:val="false"/>
          <w:color w:val="000000"/>
          <w:sz w:val="24"/>
          <w:szCs w:val="24"/>
        </w:rPr>
        <w:t xml:space="preserve">Decisions required</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following decisions remain open in the stakeholder decision register. The current posture is stated because it explains the implementation, but it is not client approval. Confirmed decisions DEC-018 to DEC-023, DEC-030 and DEC-031 are reflected in the requirements above and are not repeated as approval requests.</w:t>
      </w:r>
    </w:p>
    <w:p>
      <w:pPr>
        <w:pStyle w:val="TableCaption"/>
        <w:spacing w:after="120" w:before="120"/>
        <w:ind w:left="0" w:right="0" w:firstLine="0"/>
        <w:jc w:val="left"/>
      </w:pPr>
      <w:bookmarkStart w:name="tbl_10_1" w:id="1"/>
      <w:r>
        <w:rPr>
          <w:rFonts w:ascii="Times New Roman" w:cs="Times New Roman" w:eastAsia="Times New Roman" w:hAnsi="Times New Roman"/>
          <w:b w:val="false"/>
          <w:bCs w:val="false"/>
          <w:i/>
          <w:iCs/>
          <w:color w:val="000000"/>
          <w:sz w:val="18"/>
          <w:szCs w:val="18"/>
        </w:rPr>
        <w:t xml:space="preserve">Table 10.1</w:t>
      </w:r>
      <w:bookmarkEnd w:id="1"/>
      <w:r>
        <w:rPr>
          <w:rFonts w:ascii="Times New Roman" w:cs="Times New Roman" w:eastAsia="Times New Roman" w:hAnsi="Times New Roman"/>
          <w:b w:val="false"/>
          <w:bCs w:val="false"/>
          <w:i/>
          <w:iCs/>
          <w:color w:val="000000"/>
          <w:sz w:val="18"/>
          <w:szCs w:val="18"/>
        </w:rPr>
        <w:t xml:space="preserve">: Open decisions and current posture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2756"/>
        <w:gridCol w:w="3327"/>
        <w:gridCol w:w="1806"/>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275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Decision required</w:t>
            </w:r>
          </w:p>
        </w:tc>
        <w:tc>
          <w:tcPr>
            <w:tcW w:type="dxa" w:w="33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Current posture</w:t>
            </w:r>
          </w:p>
        </w:tc>
        <w:tc>
          <w:tcPr>
            <w:tcW w:type="dxa" w:w="18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DEC-024</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May management authorisers see individual referral content</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management route exists. The minimum-disclosure summary is officer-only</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Accountable sponsor and Data Protection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DEC-025</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Should the referral form section numbering be corrected</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duplicate Section E labels and missing Section D are reproduced and flagged</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Control and Health and Wellness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DEC-026</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Should the printed infirmary officer title be replaced</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printed wording is retained pending a controlled form revision</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Control and Health and Wellness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DEC-027</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Who owns the four Workplace Safety figures and their authoritative system</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Optional attributed monthly figures are accepted. No incident register is built</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Benard Okanyakure, Workplace Safety and 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DEC-028</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What is the final product name</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signed-in shell currently says QHSE Management System and does not mark the name as proposed</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Benard Okanyakure and accountable executive sponsor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DEC-029</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Does the laboratory require structured units, ranges and abnormality flags beyond the supplied form</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Results remain free text with no automatic abnormality flag</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Laboratory Lead and Health and Wellness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DEC-032</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What does each year-to-date value mean</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Complete counts are totalled and rates are recomputed from summed inputs. Incomplete histories show no figure</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division, named owner unknown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DEC-033</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Which month receives referral leave spanning a month end</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full value is assigned to the month in which leave begins</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division and Human Resources, named owner unknown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DEC-034</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How clinical authenticates to the metrics ingest route</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shared secret is used on an internal route. A scoped service account is required before production</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 and information security owner, named individual unknown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DEC-035</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Who may change KPI targets and hygiene limits</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manager may write through the API. There is no reference administration screen</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Accountable sponsor and KMC ICT, named business owner unknown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DEC-036</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Where and by whom the monthly occupational plan is recorded</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enters it on Monthly returns and the manager reads it. Confirmed disease placement remains to be agreed</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Manager and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DEC-037</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Must a patient history download create a distinct audit event</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browser download creates no event beyond the earlier detail read</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Officer and KMC ICT</w:t>
            </w:r>
          </w:p>
        </w:tc>
      </w:tr>
    </w:tbl>
    <w:p>
      <w:pPr>
        <w:pStyle w:val="Heading2"/>
        <w:numPr>
          <w:ilvl w:val="1"/>
          <w:numId w:val="2"/>
        </w:numPr>
        <w:spacing w:after="150" w:before="270"/>
        <w:ind w:left="0" w:right="0" w:firstLine="0"/>
        <w:jc w:val="left"/>
      </w:pPr>
      <w:bookmarkStart w:name="h_24" w:id="1"/>
      <w:r>
        <w:rPr>
          <w:rFonts w:ascii="Times New Roman" w:cs="Times New Roman" w:eastAsia="Times New Roman" w:hAnsi="Times New Roman"/>
          <w:b/>
          <w:bCs/>
          <w:i w:val="false"/>
          <w:iCs w:val="false"/>
          <w:color w:val="000000"/>
          <w:sz w:val="24"/>
          <w:szCs w:val="24"/>
        </w:rPr>
        <w:t xml:space="preserve">Approval</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Approval of this specification means that the requirements stated here are agreed as the basis for build and for acceptance. It does not authorise the processing of real clinical records, which is requested separately.</w:t>
      </w:r>
    </w:p>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10_2" w:id="1"/>
      <w:r>
        <w:rPr>
          <w:rFonts w:ascii="Times New Roman" w:cs="Times New Roman" w:eastAsia="Times New Roman" w:hAnsi="Times New Roman"/>
          <w:b w:val="false"/>
          <w:bCs w:val="false"/>
          <w:i/>
          <w:iCs/>
          <w:color w:val="000000"/>
          <w:sz w:val="18"/>
          <w:szCs w:val="18"/>
        </w:rPr>
        <w:t xml:space="preserve">Table 10.2</w:t>
      </w:r>
      <w:bookmarkEnd w:id="1"/>
      <w:r>
        <w:rPr>
          <w:rFonts w:ascii="Times New Roman" w:cs="Times New Roman" w:eastAsia="Times New Roman" w:hAnsi="Times New Roman"/>
          <w:b w:val="false"/>
          <w:bCs w:val="false"/>
          <w:i/>
          <w:iCs/>
          <w:color w:val="000000"/>
          <w:sz w:val="18"/>
          <w:szCs w:val="18"/>
        </w:rPr>
        <w:t xml:space="preserve">: Specification 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1988"/>
        <w:gridCol w:w="2187"/>
        <w:gridCol w:w="1392"/>
      </w:tblGrid>
      <w:tr>
        <w:trPr>
          <w:tblHeader/>
        </w:trPr>
        <w:tc>
          <w:tcPr>
            <w:tcW w:type="dxa" w:w="417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98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18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3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 Software Engineering Intern</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Reviewed by, Health and Wellness Officer</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Reviewed by, Health and Wellness Manager</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Approved by, Head of Department, Quality, Health, Safety and Environment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sectPr>
      <w:footerReference w:type="default" r:id="rId7"/>
      <w:footerReference w:type="first" r:id="rId8"/>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lineRule="auto"/>
        <w:ind w:left="0" w:right="0" w:firstLin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left="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ind w:left="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ind w:left="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 w:type="paragraph" w:styleId="FigureCaption">
    <w:name w:val="Figur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c0048e2b0ed9c12922e26d2252152f8b66c7989.png"/><Relationship Id="rId10" Type="http://schemas.openxmlformats.org/officeDocument/2006/relationships/image" Target="media/9aeea1e0abd99fc2db8f3e27d87b08db1c0ee5f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Akanga Andrew, Software Engineering Intern, Department of Quality, Health, Safety and Environment</dc:creator>
  <dc:description>Requirements for the Health and Wellness Management System covering the patient registry, clinic visits, laboratory requisitions, medical referrals and divisional performance reporting</dc:description>
  <cp:lastModifiedBy>Un-named</cp:lastModifiedBy>
  <cp:revision>1</cp:revision>
  <dcterms:created xsi:type="dcterms:W3CDTF">2026-08-21T19:48:18.233Z</dcterms:created>
  <dcterms:modified xsi:type="dcterms:W3CDTF">2026-08-21T19:48:18.233Z</dcterms:modified>
</cp:coreProperties>
</file>

<file path=docProps/custom.xml><?xml version="1.0" encoding="utf-8"?>
<Properties xmlns="http://schemas.openxmlformats.org/officeDocument/2006/custom-properties" xmlns:vt="http://schemas.openxmlformats.org/officeDocument/2006/docPropsVTypes"/>
</file>