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0"/>
        <w:jc w:val="center"/>
      </w:pPr>
      <w:r>
        <w:rPr>
          <w:rFonts w:ascii="Times New Roman" w:cs="Times New Roman" w:eastAsia="Times New Roman" w:hAnsi="Times New Roman"/>
          <w:b/>
          <w:bCs/>
          <w:i w:val="false"/>
          <w:iCs w:val="false"/>
          <w:color w:val="000000"/>
          <w:sz w:val="24"/>
          <w:szCs w:val="24"/>
        </w:rPr>
        <w:t xml:space="preserve">KIIRA MOTORS CORPORATION</w:t>
      </w:r>
    </w:p>
    <w:p>
      <w:pPr>
        <w:spacing w:after="700"/>
        <w:jc w:val="center"/>
      </w:pPr>
      <w:r>
        <w:rPr>
          <w:rFonts w:ascii="Times New Roman" w:cs="Times New Roman" w:eastAsia="Times New Roman" w:hAnsi="Times New Roman"/>
          <w:b/>
          <w:bCs/>
          <w:i w:val="false"/>
          <w:iCs w:val="false"/>
          <w:color w:val="000000"/>
          <w:sz w:val="24"/>
          <w:szCs w:val="24"/>
        </w:rPr>
        <w:t xml:space="preserve">HEALTH AND WELLNESS MANAGEMENT SYSTEM</w:t>
      </w:r>
    </w:p>
    <w:p>
      <w:pPr>
        <w:spacing w:after="900"/>
        <w:jc w:val="center"/>
      </w:pPr>
      <w:r>
        <w:rPr>
          <w:rFonts w:ascii="Times New Roman" w:cs="Times New Roman" w:eastAsia="Times New Roman" w:hAnsi="Times New Roman"/>
          <w:b/>
          <w:bCs/>
          <w:i w:val="false"/>
          <w:iCs w:val="false"/>
          <w:color w:val="000000"/>
          <w:sz w:val="24"/>
          <w:szCs w:val="24"/>
        </w:rPr>
        <w:t xml:space="preserve">INFORMATION SECURITY REVIEW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Field</w:t>
            </w:r>
          </w:p>
        </w:tc>
        <w:tc>
          <w:tcPr>
            <w:tcW w:type="dxa" w:w="714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name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Information Security Review</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Reference number</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KMC.DQHSE.08/26-SP003</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description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Security assessment of the Health and Wellness Management System covering identity, clinical confidentiality, data protection, audit and the remediation required before user testing</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Akanga Andrew, Software Engineering Intern, Department of Quality, Health, Safety and Environment</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Issue date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11/08/2026</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002</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Classification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Confidential, Restricted to KMC ICT, the data protection owner and departmental management</w:t>
            </w:r>
          </w:p>
        </w:tc>
      </w:tr>
    </w:tbl>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Table of Contents</w:t>
      </w:r>
    </w:p>
    <w:p>
      <w:pPr>
        <w:tabs>
          <w:tab w:val="right" w:pos="9746" w:leader="dot"/>
        </w:tabs>
        <w:spacing w:after="60" w:line="260" w:lineRule="auto"/>
        <w:ind w:left="0" w:right="0" w:firstLine="0"/>
        <w:jc w:val="left"/>
      </w:pPr>
      <w:hyperlink w:history="1" w:anchor="h_1">
        <w:r>
          <w:rPr>
            <w:rFonts w:ascii="Times New Roman" w:cs="Times New Roman" w:eastAsia="Times New Roman" w:hAnsi="Times New Roman"/>
            <w:b w:val="false"/>
            <w:bCs w:val="false"/>
            <w:i w:val="false"/>
            <w:iCs w:val="false"/>
            <w:color w:val="000000"/>
            <w:sz w:val="24"/>
            <w:szCs w:val="24"/>
          </w:rPr>
          <w:t xml:space="preserve">1 Introduction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2">
        <w:r>
          <w:rPr>
            <w:rFonts w:ascii="Times New Roman" w:cs="Times New Roman" w:eastAsia="Times New Roman" w:hAnsi="Times New Roman"/>
            <w:b w:val="false"/>
            <w:bCs w:val="false"/>
            <w:i w:val="false"/>
            <w:iCs w:val="false"/>
            <w:color w:val="000000"/>
            <w:sz w:val="24"/>
            <w:szCs w:val="24"/>
          </w:rPr>
          <w:t xml:space="preserve">1.1 Purpose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3">
        <w:r>
          <w:rPr>
            <w:rFonts w:ascii="Times New Roman" w:cs="Times New Roman" w:eastAsia="Times New Roman" w:hAnsi="Times New Roman"/>
            <w:b w:val="false"/>
            <w:bCs w:val="false"/>
            <w:i w:val="false"/>
            <w:iCs w:val="false"/>
            <w:color w:val="000000"/>
            <w:sz w:val="24"/>
            <w:szCs w:val="24"/>
          </w:rPr>
          <w:t xml:space="preserve">1.2 Why This System Warrants a Review</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4">
        <w:r>
          <w:rPr>
            <w:rFonts w:ascii="Times New Roman" w:cs="Times New Roman" w:eastAsia="Times New Roman" w:hAnsi="Times New Roman"/>
            <w:b w:val="false"/>
            <w:bCs w:val="false"/>
            <w:i w:val="false"/>
            <w:iCs w:val="false"/>
            <w:color w:val="000000"/>
            <w:sz w:val="24"/>
            <w:szCs w:val="24"/>
          </w:rPr>
          <w:t xml:space="preserve">1.3 Scope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5">
        <w:r>
          <w:rPr>
            <w:rFonts w:ascii="Times New Roman" w:cs="Times New Roman" w:eastAsia="Times New Roman" w:hAnsi="Times New Roman"/>
            <w:b w:val="false"/>
            <w:bCs w:val="false"/>
            <w:i w:val="false"/>
            <w:iCs w:val="false"/>
            <w:color w:val="000000"/>
            <w:sz w:val="24"/>
            <w:szCs w:val="24"/>
          </w:rPr>
          <w:t xml:space="preserve">1.4 Severity Scale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h_6">
        <w:r>
          <w:rPr>
            <w:rFonts w:ascii="Times New Roman" w:cs="Times New Roman" w:eastAsia="Times New Roman" w:hAnsi="Times New Roman"/>
            <w:b w:val="false"/>
            <w:bCs w:val="false"/>
            <w:i w:val="false"/>
            <w:iCs w:val="false"/>
            <w:color w:val="000000"/>
            <w:sz w:val="24"/>
            <w:szCs w:val="24"/>
          </w:rPr>
          <w:t xml:space="preserve">2 Security Architecture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7">
        <w:r>
          <w:rPr>
            <w:rFonts w:ascii="Times New Roman" w:cs="Times New Roman" w:eastAsia="Times New Roman" w:hAnsi="Times New Roman"/>
            <w:b w:val="false"/>
            <w:bCs w:val="false"/>
            <w:i w:val="false"/>
            <w:iCs w:val="false"/>
            <w:color w:val="000000"/>
            <w:sz w:val="24"/>
            <w:szCs w:val="24"/>
          </w:rPr>
          <w:t xml:space="preserve">2.1 Identity and Session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8">
        <w:r>
          <w:rPr>
            <w:rFonts w:ascii="Times New Roman" w:cs="Times New Roman" w:eastAsia="Times New Roman" w:hAnsi="Times New Roman"/>
            <w:b w:val="false"/>
            <w:bCs w:val="false"/>
            <w:i w:val="false"/>
            <w:iCs w:val="false"/>
            <w:color w:val="000000"/>
            <w:sz w:val="24"/>
            <w:szCs w:val="24"/>
          </w:rPr>
          <w:t xml:space="preserve">2.2 Authorisation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9">
        <w:r>
          <w:rPr>
            <w:rFonts w:ascii="Times New Roman" w:cs="Times New Roman" w:eastAsia="Times New Roman" w:hAnsi="Times New Roman"/>
            <w:b w:val="false"/>
            <w:bCs w:val="false"/>
            <w:i w:val="false"/>
            <w:iCs w:val="false"/>
            <w:color w:val="000000"/>
            <w:sz w:val="24"/>
            <w:szCs w:val="24"/>
          </w:rPr>
          <w:t xml:space="preserve">2.3 Clinical Confidentiality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10">
        <w:r>
          <w:rPr>
            <w:rFonts w:ascii="Times New Roman" w:cs="Times New Roman" w:eastAsia="Times New Roman" w:hAnsi="Times New Roman"/>
            <w:b w:val="false"/>
            <w:bCs w:val="false"/>
            <w:i w:val="false"/>
            <w:iCs w:val="false"/>
            <w:color w:val="000000"/>
            <w:sz w:val="24"/>
            <w:szCs w:val="24"/>
          </w:rPr>
          <w:t xml:space="preserve">2.4 Access Logging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h_11">
        <w:r>
          <w:rPr>
            <w:rFonts w:ascii="Times New Roman" w:cs="Times New Roman" w:eastAsia="Times New Roman" w:hAnsi="Times New Roman"/>
            <w:b w:val="false"/>
            <w:bCs w:val="false"/>
            <w:i w:val="false"/>
            <w:iCs w:val="false"/>
            <w:color w:val="000000"/>
            <w:sz w:val="24"/>
            <w:szCs w:val="24"/>
          </w:rPr>
          <w:t xml:space="preserve">3 Findings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2">
        <w:r>
          <w:rPr>
            <w:rFonts w:ascii="Times New Roman" w:cs="Times New Roman" w:eastAsia="Times New Roman" w:hAnsi="Times New Roman"/>
            <w:b w:val="false"/>
            <w:bCs w:val="false"/>
            <w:i w:val="false"/>
            <w:iCs w:val="false"/>
            <w:color w:val="000000"/>
            <w:sz w:val="24"/>
            <w:szCs w:val="24"/>
          </w:rPr>
          <w:t xml:space="preserve">3.1 High Findings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3">
        <w:r>
          <w:rPr>
            <w:rFonts w:ascii="Times New Roman" w:cs="Times New Roman" w:eastAsia="Times New Roman" w:hAnsi="Times New Roman"/>
            <w:b w:val="false"/>
            <w:bCs w:val="false"/>
            <w:i w:val="false"/>
            <w:iCs w:val="false"/>
            <w:color w:val="000000"/>
            <w:sz w:val="24"/>
            <w:szCs w:val="24"/>
          </w:rPr>
          <w:t xml:space="preserve">3.2 Medium Findings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4">
        <w:r>
          <w:rPr>
            <w:rFonts w:ascii="Times New Roman" w:cs="Times New Roman" w:eastAsia="Times New Roman" w:hAnsi="Times New Roman"/>
            <w:b w:val="false"/>
            <w:bCs w:val="false"/>
            <w:i w:val="false"/>
            <w:iCs w:val="false"/>
            <w:color w:val="000000"/>
            <w:sz w:val="24"/>
            <w:szCs w:val="24"/>
          </w:rPr>
          <w:t xml:space="preserve">3.3 Low Findings and Observations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5">
        <w:r>
          <w:rPr>
            <w:rFonts w:ascii="Times New Roman" w:cs="Times New Roman" w:eastAsia="Times New Roman" w:hAnsi="Times New Roman"/>
            <w:b w:val="false"/>
            <w:bCs w:val="false"/>
            <w:i w:val="false"/>
            <w:iCs w:val="false"/>
            <w:color w:val="000000"/>
            <w:sz w:val="24"/>
            <w:szCs w:val="24"/>
          </w:rPr>
          <w:t xml:space="preserve">3.4 What Was Found To Be Sound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h_16">
        <w:r>
          <w:rPr>
            <w:rFonts w:ascii="Times New Roman" w:cs="Times New Roman" w:eastAsia="Times New Roman" w:hAnsi="Times New Roman"/>
            <w:b w:val="false"/>
            <w:bCs w:val="false"/>
            <w:i w:val="false"/>
            <w:iCs w:val="false"/>
            <w:color w:val="000000"/>
            <w:sz w:val="24"/>
            <w:szCs w:val="24"/>
          </w:rPr>
          <w:t xml:space="preserve">4 Data Protection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17">
        <w:r>
          <w:rPr>
            <w:rFonts w:ascii="Times New Roman" w:cs="Times New Roman" w:eastAsia="Times New Roman" w:hAnsi="Times New Roman"/>
            <w:b w:val="false"/>
            <w:bCs w:val="false"/>
            <w:i w:val="false"/>
            <w:iCs w:val="false"/>
            <w:color w:val="000000"/>
            <w:sz w:val="24"/>
            <w:szCs w:val="24"/>
          </w:rPr>
          <w:t xml:space="preserve">4.1 Obligations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18">
        <w:r>
          <w:rPr>
            <w:rFonts w:ascii="Times New Roman" w:cs="Times New Roman" w:eastAsia="Times New Roman" w:hAnsi="Times New Roman"/>
            <w:b w:val="false"/>
            <w:bCs w:val="false"/>
            <w:i w:val="false"/>
            <w:iCs w:val="false"/>
            <w:color w:val="000000"/>
            <w:sz w:val="24"/>
            <w:szCs w:val="24"/>
          </w:rPr>
          <w:t xml:space="preserve">4.2 Synthetic Data in Non Production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19">
        <w:r>
          <w:rPr>
            <w:rFonts w:ascii="Times New Roman" w:cs="Times New Roman" w:eastAsia="Times New Roman" w:hAnsi="Times New Roman"/>
            <w:b w:val="false"/>
            <w:bCs w:val="false"/>
            <w:i w:val="false"/>
            <w:iCs w:val="false"/>
            <w:color w:val="000000"/>
            <w:sz w:val="24"/>
            <w:szCs w:val="24"/>
          </w:rPr>
          <w:t xml:space="preserve">4.3 A Conflict Requiring a Decision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h_20">
        <w:r>
          <w:rPr>
            <w:rFonts w:ascii="Times New Roman" w:cs="Times New Roman" w:eastAsia="Times New Roman" w:hAnsi="Times New Roman"/>
            <w:b w:val="false"/>
            <w:bCs w:val="false"/>
            <w:i w:val="false"/>
            <w:iCs w:val="false"/>
            <w:color w:val="000000"/>
            <w:sz w:val="24"/>
            <w:szCs w:val="24"/>
          </w:rPr>
          <w:t xml:space="preserve">5 Remediation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280" w:right="0" w:firstLine="0"/>
        <w:jc w:val="left"/>
      </w:pPr>
      <w:hyperlink w:history="1" w:anchor="h_21">
        <w:r>
          <w:rPr>
            <w:rFonts w:ascii="Times New Roman" w:cs="Times New Roman" w:eastAsia="Times New Roman" w:hAnsi="Times New Roman"/>
            <w:b w:val="false"/>
            <w:bCs w:val="false"/>
            <w:i w:val="false"/>
            <w:iCs w:val="false"/>
            <w:color w:val="000000"/>
            <w:sz w:val="24"/>
            <w:szCs w:val="24"/>
          </w:rPr>
          <w:t xml:space="preserve">5.1 Before User Testing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280" w:right="0" w:firstLine="0"/>
        <w:jc w:val="left"/>
      </w:pPr>
      <w:hyperlink w:history="1" w:anchor="h_22">
        <w:r>
          <w:rPr>
            <w:rFonts w:ascii="Times New Roman" w:cs="Times New Roman" w:eastAsia="Times New Roman" w:hAnsi="Times New Roman"/>
            <w:b w:val="false"/>
            <w:bCs w:val="false"/>
            <w:i w:val="false"/>
            <w:iCs w:val="false"/>
            <w:color w:val="000000"/>
            <w:sz w:val="24"/>
            <w:szCs w:val="24"/>
          </w:rPr>
          <w:t xml:space="preserve">5.2 Before Real Clinical Records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280" w:right="0" w:firstLine="0"/>
        <w:jc w:val="left"/>
      </w:pPr>
      <w:hyperlink w:history="1" w:anchor="h_23">
        <w:r>
          <w:rPr>
            <w:rFonts w:ascii="Times New Roman" w:cs="Times New Roman" w:eastAsia="Times New Roman" w:hAnsi="Times New Roman"/>
            <w:b w:val="false"/>
            <w:bCs w:val="false"/>
            <w:i w:val="false"/>
            <w:iCs w:val="false"/>
            <w:color w:val="000000"/>
            <w:sz w:val="24"/>
            <w:szCs w:val="24"/>
          </w:rPr>
          <w:t xml:space="preserve">5.3 Compensating Controls During Testing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h_24">
        <w:r>
          <w:rPr>
            <w:rFonts w:ascii="Times New Roman" w:cs="Times New Roman" w:eastAsia="Times New Roman" w:hAnsi="Times New Roman"/>
            <w:b w:val="false"/>
            <w:bCs w:val="false"/>
            <w:i w:val="false"/>
            <w:iCs w:val="false"/>
            <w:color w:val="000000"/>
            <w:sz w:val="24"/>
            <w:szCs w:val="24"/>
          </w:rPr>
          <w:t xml:space="preserve">6 Conclusion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List of Figures</w:t>
      </w:r>
    </w:p>
    <w:p>
      <w:pPr>
        <w:tabs>
          <w:tab w:val="right" w:pos="9746" w:leader="dot"/>
        </w:tabs>
        <w:spacing w:after="60" w:line="260" w:lineRule="auto"/>
        <w:ind w:left="0" w:right="0" w:firstLine="0"/>
        <w:jc w:val="left"/>
      </w:pPr>
      <w:hyperlink w:history="1" w:anchor="fig_2_1">
        <w:r>
          <w:rPr>
            <w:rFonts w:ascii="Times New Roman" w:cs="Times New Roman" w:eastAsia="Times New Roman" w:hAnsi="Times New Roman"/>
            <w:b w:val="false"/>
            <w:bCs w:val="false"/>
            <w:i w:val="false"/>
            <w:iCs w:val="false"/>
            <w:color w:val="000000"/>
            <w:sz w:val="24"/>
            <w:szCs w:val="24"/>
          </w:rPr>
          <w:t xml:space="preserve">Figure 2.1: The Four Layers Enforcing Clinical Access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r>
        <w:rPr>
          <w:rFonts w:ascii="Times New Roman" w:cs="Times New Roman" w:eastAsia="Times New Roman" w:hAnsi="Times New Roman"/>
          <w:b w:val="false"/>
          <w:bCs w:val="false"/>
          <w:i w:val="false"/>
          <w:iCs w:val="false"/>
          <w:color w:val="000000"/>
          <w:sz w:val="24"/>
          <w:szCs w:val="24"/>
        </w:rPr>
        <w:t xml:space="preserve"/>
      </w:r>
    </w:p>
    <w:p>
      <w:pPr>
        <w:spacing w:after="200" w:before="240"/>
        <w:jc w:val="left"/>
      </w:pPr>
      <w:r>
        <w:rPr>
          <w:rFonts w:ascii="Times New Roman" w:cs="Times New Roman" w:eastAsia="Times New Roman" w:hAnsi="Times New Roman"/>
          <w:b/>
          <w:bCs/>
          <w:i w:val="false"/>
          <w:iCs w:val="false"/>
          <w:color w:val="000000"/>
          <w:sz w:val="24"/>
          <w:szCs w:val="24"/>
        </w:rPr>
        <w:t xml:space="preserve">List of Tables</w:t>
      </w:r>
    </w:p>
    <w:p>
      <w:pPr>
        <w:tabs>
          <w:tab w:val="right" w:pos="9746" w:leader="dot"/>
        </w:tabs>
        <w:spacing w:after="60" w:line="260" w:lineRule="auto"/>
        <w:ind w:left="0" w:right="0" w:firstLine="0"/>
        <w:jc w:val="left"/>
      </w:pPr>
      <w:hyperlink w:history="1" w:anchor="tbl_1_1">
        <w:r>
          <w:rPr>
            <w:rFonts w:ascii="Times New Roman" w:cs="Times New Roman" w:eastAsia="Times New Roman" w:hAnsi="Times New Roman"/>
            <w:b w:val="false"/>
            <w:bCs w:val="false"/>
            <w:i w:val="false"/>
            <w:iCs w:val="false"/>
            <w:color w:val="000000"/>
            <w:sz w:val="24"/>
            <w:szCs w:val="24"/>
          </w:rPr>
          <w:t xml:space="preserve">Table 1.1: Finding Severity Definitions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tbl_2_1">
        <w:r>
          <w:rPr>
            <w:rFonts w:ascii="Times New Roman" w:cs="Times New Roman" w:eastAsia="Times New Roman" w:hAnsi="Times New Roman"/>
            <w:b w:val="false"/>
            <w:bCs w:val="false"/>
            <w:i w:val="false"/>
            <w:iCs w:val="false"/>
            <w:color w:val="000000"/>
            <w:sz w:val="24"/>
            <w:szCs w:val="24"/>
          </w:rPr>
          <w:t xml:space="preserve">Table 2.1: Clinical Access Controls and Their Assessment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tbl_3_1">
        <w:r>
          <w:rPr>
            <w:rFonts w:ascii="Times New Roman" w:cs="Times New Roman" w:eastAsia="Times New Roman" w:hAnsi="Times New Roman"/>
            <w:b w:val="false"/>
            <w:bCs w:val="false"/>
            <w:i w:val="false"/>
            <w:iCs w:val="false"/>
            <w:color w:val="000000"/>
            <w:sz w:val="24"/>
            <w:szCs w:val="24"/>
          </w:rPr>
          <w:t xml:space="preserve">Table 3.1: High Severity Findings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3_2">
        <w:r>
          <w:rPr>
            <w:rFonts w:ascii="Times New Roman" w:cs="Times New Roman" w:eastAsia="Times New Roman" w:hAnsi="Times New Roman"/>
            <w:b w:val="false"/>
            <w:bCs w:val="false"/>
            <w:i w:val="false"/>
            <w:iCs w:val="false"/>
            <w:color w:val="000000"/>
            <w:sz w:val="24"/>
            <w:szCs w:val="24"/>
          </w:rPr>
          <w:t xml:space="preserve">Table 3.2: Medium Severity Findings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tbl_3_3">
        <w:r>
          <w:rPr>
            <w:rFonts w:ascii="Times New Roman" w:cs="Times New Roman" w:eastAsia="Times New Roman" w:hAnsi="Times New Roman"/>
            <w:b w:val="false"/>
            <w:bCs w:val="false"/>
            <w:i w:val="false"/>
            <w:iCs w:val="false"/>
            <w:color w:val="000000"/>
            <w:sz w:val="24"/>
            <w:szCs w:val="24"/>
          </w:rPr>
          <w:t xml:space="preserve">Table 3.3: Low Severity Findings and Observations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tbl_4_1">
        <w:r>
          <w:rPr>
            <w:rFonts w:ascii="Times New Roman" w:cs="Times New Roman" w:eastAsia="Times New Roman" w:hAnsi="Times New Roman"/>
            <w:b w:val="false"/>
            <w:bCs w:val="false"/>
            <w:i w:val="false"/>
            <w:iCs w:val="false"/>
            <w:color w:val="000000"/>
            <w:sz w:val="24"/>
            <w:szCs w:val="24"/>
          </w:rPr>
          <w:t xml:space="preserve">Table 4.1: Data Protection Obligations and Position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5_1">
        <w:r>
          <w:rPr>
            <w:rFonts w:ascii="Times New Roman" w:cs="Times New Roman" w:eastAsia="Times New Roman" w:hAnsi="Times New Roman"/>
            <w:b w:val="false"/>
            <w:bCs w:val="false"/>
            <w:i w:val="false"/>
            <w:iCs w:val="false"/>
            <w:color w:val="000000"/>
            <w:sz w:val="24"/>
            <w:szCs w:val="24"/>
          </w:rPr>
          <w:t xml:space="preserve">Table 5.1: Remediation Required Before User Testing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tbl_5_2">
        <w:r>
          <w:rPr>
            <w:rFonts w:ascii="Times New Roman" w:cs="Times New Roman" w:eastAsia="Times New Roman" w:hAnsi="Times New Roman"/>
            <w:b w:val="false"/>
            <w:bCs w:val="false"/>
            <w:i w:val="false"/>
            <w:iCs w:val="false"/>
            <w:color w:val="000000"/>
            <w:sz w:val="24"/>
            <w:szCs w:val="24"/>
          </w:rPr>
          <w:t xml:space="preserve">Table 5.2: Remediation Required Before Any Real Clinical Record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tbl_6_1">
        <w:r>
          <w:rPr>
            <w:rFonts w:ascii="Times New Roman" w:cs="Times New Roman" w:eastAsia="Times New Roman" w:hAnsi="Times New Roman"/>
            <w:b w:val="false"/>
            <w:bCs w:val="false"/>
            <w:i w:val="false"/>
            <w:iCs w:val="false"/>
            <w:color w:val="000000"/>
            <w:sz w:val="24"/>
            <w:szCs w:val="24"/>
          </w:rPr>
          <w:t xml:space="preserve">Table 6.1: Information Security Review Sign Off</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r>
        <w:br w:type="page"/>
      </w:r>
    </w:p>
    <w:p>
      <w:pPr>
        <w:pStyle w:val="Heading1"/>
        <w:numPr>
          <w:ilvl w:val="0"/>
          <w:numId w:val="2"/>
        </w:numPr>
        <w:spacing w:after="170" w:before="300"/>
        <w:ind w:left="0" w:right="0" w:firstLine="0"/>
        <w:jc w:val="left"/>
      </w:pPr>
      <w:bookmarkStart w:name="h_1" w:id="100"/>
      <w:r>
        <w:rPr>
          <w:rFonts w:ascii="Times New Roman" w:cs="Times New Roman" w:eastAsia="Times New Roman" w:hAnsi="Times New Roman"/>
          <w:b/>
          <w:bCs/>
          <w:i w:val="false"/>
          <w:iCs w:val="false"/>
          <w:color w:val="000000"/>
          <w:sz w:val="24"/>
          <w:szCs w:val="24"/>
        </w:rPr>
        <w:t xml:space="preserve">Introduction</w:t>
      </w:r>
      <w:bookmarkEnd w:id="100"/>
    </w:p>
    <w:p>
      <w:pPr>
        <w:pStyle w:val="Heading2"/>
        <w:numPr>
          <w:ilvl w:val="1"/>
          <w:numId w:val="2"/>
        </w:numPr>
        <w:spacing w:after="150" w:before="270"/>
        <w:ind w:left="0" w:right="0" w:firstLine="0"/>
        <w:jc w:val="left"/>
      </w:pPr>
      <w:bookmarkStart w:name="h_2" w:id="101"/>
      <w:r>
        <w:rPr>
          <w:rFonts w:ascii="Times New Roman" w:cs="Times New Roman" w:eastAsia="Times New Roman" w:hAnsi="Times New Roman"/>
          <w:b/>
          <w:bCs/>
          <w:i w:val="false"/>
          <w:iCs w:val="false"/>
          <w:color w:val="000000"/>
          <w:sz w:val="24"/>
          <w:szCs w:val="24"/>
        </w:rPr>
        <w:t xml:space="preserve">Purpose</w:t>
      </w:r>
      <w:bookmarkEnd w:id="10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review records the security posture of the Health and Wellness Management System as built, identifies the weaknesses that exist in it, and states what must be closed before the system is used for testing and before it is ever used for real clinical records. It is written to be usable as a working remediation plan rather than as a compliance statement.</w:t>
      </w:r>
    </w:p>
    <w:p>
      <w:pPr>
        <w:pStyle w:val="Heading2"/>
        <w:numPr>
          <w:ilvl w:val="1"/>
          <w:numId w:val="2"/>
        </w:numPr>
        <w:spacing w:after="150" w:before="270"/>
        <w:ind w:left="0" w:right="0" w:firstLine="0"/>
        <w:jc w:val="left"/>
      </w:pPr>
      <w:bookmarkStart w:name="h_3" w:id="102"/>
      <w:r>
        <w:rPr>
          <w:rFonts w:ascii="Times New Roman" w:cs="Times New Roman" w:eastAsia="Times New Roman" w:hAnsi="Times New Roman"/>
          <w:b/>
          <w:bCs/>
          <w:i w:val="false"/>
          <w:iCs w:val="false"/>
          <w:color w:val="000000"/>
          <w:sz w:val="24"/>
          <w:szCs w:val="24"/>
        </w:rPr>
        <w:t xml:space="preserve">Why This System Warrants a Review</w:t>
      </w:r>
      <w:bookmarkEnd w:id="10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holds data concerning health, which the Data Protection and Privacy Act, 2019 treats as special personal data attracting the highest protection. It holds that data about employees, on behalf of their employer. The risk therefore is not only that an outsider reads a record. It is that a colleague reads one, and that an employee suffers an employment consequence from a medical disclosure.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That shapes the whole assessment. The controls examined most closely are the ones that separate the clinical record from the rest of the organisation, and the ability of the system to say afterwards who read what.</w:t>
      </w:r>
    </w:p>
    <w:p>
      <w:pPr>
        <w:pStyle w:val="Heading2"/>
        <w:numPr>
          <w:ilvl w:val="1"/>
          <w:numId w:val="2"/>
        </w:numPr>
        <w:spacing w:after="150" w:before="270"/>
        <w:ind w:left="0" w:right="0" w:firstLine="0"/>
        <w:jc w:val="left"/>
      </w:pPr>
      <w:bookmarkStart w:name="h_4" w:id="103"/>
      <w:r>
        <w:rPr>
          <w:rFonts w:ascii="Times New Roman" w:cs="Times New Roman" w:eastAsia="Times New Roman" w:hAnsi="Times New Roman"/>
          <w:b/>
          <w:bCs/>
          <w:i w:val="false"/>
          <w:iCs w:val="false"/>
          <w:color w:val="000000"/>
          <w:sz w:val="24"/>
          <w:szCs w:val="24"/>
        </w:rPr>
        <w:t xml:space="preserve">Scope</w:t>
      </w:r>
      <w:bookmarkEnd w:id="103"/>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review covers the application as delivered. That is the sign in and session design, the authorisation model, the clinical confidentiality controls, the audit and access logging, secret handling, container construction and the handling of personal data.</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review does not cover the physical security of any hosting site, the security of the KMC network into which the system would be deployed, or the internal security of Keycloak as a product. It is not a penetration test. It is a design and implementation review conducted against the delivered source, schema, configuration and tests.</w:t>
      </w:r>
    </w:p>
    <w:p>
      <w:pPr>
        <w:pStyle w:val="Heading2"/>
        <w:numPr>
          <w:ilvl w:val="1"/>
          <w:numId w:val="2"/>
        </w:numPr>
        <w:spacing w:after="150" w:before="270"/>
        <w:ind w:left="0" w:right="0" w:firstLine="0"/>
        <w:jc w:val="left"/>
      </w:pPr>
      <w:bookmarkStart w:name="h_5" w:id="104"/>
      <w:r>
        <w:rPr>
          <w:rFonts w:ascii="Times New Roman" w:cs="Times New Roman" w:eastAsia="Times New Roman" w:hAnsi="Times New Roman"/>
          <w:b/>
          <w:bCs/>
          <w:i w:val="false"/>
          <w:iCs w:val="false"/>
          <w:color w:val="000000"/>
          <w:sz w:val="24"/>
          <w:szCs w:val="24"/>
        </w:rPr>
        <w:t xml:space="preserve">Severity Scale</w:t>
      </w:r>
      <w:bookmarkEnd w:id="104"/>
    </w:p>
    <w:p>
      <w:pPr>
        <w:pStyle w:val="TableCaption"/>
        <w:spacing w:after="120" w:before="120"/>
        <w:ind w:left="0" w:right="0" w:firstLine="0"/>
        <w:jc w:val="left"/>
      </w:pPr>
      <w:bookmarkStart w:name="tbl_1_1" w:id="105"/>
      <w:r>
        <w:rPr>
          <w:rFonts w:ascii="Times New Roman" w:cs="Times New Roman" w:eastAsia="Times New Roman" w:hAnsi="Times New Roman"/>
          <w:b w:val="false"/>
          <w:bCs w:val="false"/>
          <w:i/>
          <w:iCs/>
          <w:color w:val="000000"/>
          <w:sz w:val="18"/>
          <w:szCs w:val="18"/>
        </w:rPr>
        <w:t xml:space="preserve">Table 1.1</w:t>
      </w:r>
      <w:bookmarkEnd w:id="105"/>
      <w:r>
        <w:rPr>
          <w:rFonts w:ascii="Times New Roman" w:cs="Times New Roman" w:eastAsia="Times New Roman" w:hAnsi="Times New Roman"/>
          <w:b w:val="false"/>
          <w:bCs w:val="false"/>
          <w:i/>
          <w:iCs/>
          <w:color w:val="000000"/>
          <w:sz w:val="18"/>
          <w:szCs w:val="18"/>
        </w:rPr>
        <w:t xml:space="preserve">: Finding Severity Definitions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489"/>
        <w:gridCol w:w="4656"/>
        <w:gridCol w:w="2979"/>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489"/>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Severity</w:t>
            </w:r>
          </w:p>
        </w:tc>
        <w:tc>
          <w:tcPr>
            <w:tcW w:type="dxa" w:w="465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Definition</w:t>
            </w:r>
          </w:p>
        </w:tc>
        <w:tc>
          <w:tcPr>
            <w:tcW w:type="dxa" w:w="2979"/>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Required Response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48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Critical</w:t>
            </w:r>
          </w:p>
        </w:tc>
        <w:tc>
          <w:tcPr>
            <w:tcW w:type="dxa" w:w="465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Allows an unauthorised party to read a clinical record, or to act as an authorised user</w:t>
            </w:r>
          </w:p>
        </w:tc>
        <w:tc>
          <w:tcPr>
            <w:tcW w:type="dxa" w:w="297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Close before any use, including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48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High</w:t>
            </w:r>
          </w:p>
        </w:tc>
        <w:tc>
          <w:tcPr>
            <w:tcW w:type="dxa" w:w="465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Materially increases the likelihood of account compromise, or removes the ability to detect misuse</w:t>
            </w:r>
          </w:p>
        </w:tc>
        <w:tc>
          <w:tcPr>
            <w:tcW w:type="dxa" w:w="297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Close before real clinical records are entered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48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465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Weakens defence in depth or the ability to investigate</w:t>
            </w:r>
          </w:p>
        </w:tc>
        <w:tc>
          <w:tcPr>
            <w:tcW w:type="dxa" w:w="297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Close within the first release after go live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48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465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Hardening opportunity with limited practical exposure as deployed</w:t>
            </w:r>
          </w:p>
        </w:tc>
        <w:tc>
          <w:tcPr>
            <w:tcW w:type="dxa" w:w="297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Close when the affected component is next changed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48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Observation</w:t>
            </w:r>
          </w:p>
        </w:tc>
        <w:tc>
          <w:tcPr>
            <w:tcW w:type="dxa" w:w="465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action strictly required. Recorded to inform later design</w:t>
            </w:r>
          </w:p>
        </w:tc>
        <w:tc>
          <w:tcPr>
            <w:tcW w:type="dxa" w:w="297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deadline</w:t>
            </w:r>
          </w:p>
        </w:tc>
      </w:tr>
    </w:tbl>
    <w:p>
      <w:pPr>
        <w:pStyle w:val="Heading1"/>
        <w:numPr>
          <w:ilvl w:val="0"/>
          <w:numId w:val="2"/>
        </w:numPr>
        <w:spacing w:after="170" w:before="300"/>
        <w:ind w:left="0" w:right="0" w:firstLine="0"/>
        <w:jc w:val="left"/>
      </w:pPr>
      <w:bookmarkStart w:name="h_6" w:id="106"/>
      <w:r>
        <w:rPr>
          <w:rFonts w:ascii="Times New Roman" w:cs="Times New Roman" w:eastAsia="Times New Roman" w:hAnsi="Times New Roman"/>
          <w:b/>
          <w:bCs/>
          <w:i w:val="false"/>
          <w:iCs w:val="false"/>
          <w:color w:val="000000"/>
          <w:sz w:val="24"/>
          <w:szCs w:val="24"/>
        </w:rPr>
        <w:t xml:space="preserve">Security Architecture</w:t>
      </w:r>
      <w:bookmarkEnd w:id="106"/>
    </w:p>
    <w:p>
      <w:pPr>
        <w:pStyle w:val="Heading2"/>
        <w:numPr>
          <w:ilvl w:val="1"/>
          <w:numId w:val="2"/>
        </w:numPr>
        <w:spacing w:after="150" w:before="270"/>
        <w:ind w:left="0" w:right="0" w:firstLine="0"/>
        <w:jc w:val="left"/>
      </w:pPr>
      <w:bookmarkStart w:name="h_7" w:id="107"/>
      <w:r>
        <w:rPr>
          <w:rFonts w:ascii="Times New Roman" w:cs="Times New Roman" w:eastAsia="Times New Roman" w:hAnsi="Times New Roman"/>
          <w:b/>
          <w:bCs/>
          <w:i w:val="false"/>
          <w:iCs w:val="false"/>
          <w:color w:val="000000"/>
          <w:sz w:val="24"/>
          <w:szCs w:val="24"/>
        </w:rPr>
        <w:t xml:space="preserve">Identity and Session</w:t>
      </w:r>
      <w:bookmarkEnd w:id="107"/>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Authentication is delegated entirely to Keycloak. The application never receives a password, which removes a whole category of risk and means that password policy, lockout, multi factor authentication and later corporate single sign on are configuration rather than code.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browser holds no token. The gateway completes the sign in exchange, keeps the tokens in server side session state and issues the browser an opaque identifier in a cookie marked HttpOnly, Secure and SameSite. A token readable by any script on the page would be an unacceptable exposure in a system holding health data, and this design removes it.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Sign in uses the authorisation code flow with a proof key, so an intercepted authorisation code cannot be exchanged by another party. Session lifetime is bounded by inactivity rather than by age, which is the appropriate control for shared clinic workstations.</w:t>
      </w:r>
    </w:p>
    <w:p>
      <w:pPr>
        <w:pStyle w:val="Heading2"/>
        <w:numPr>
          <w:ilvl w:val="1"/>
          <w:numId w:val="2"/>
        </w:numPr>
        <w:spacing w:after="150" w:before="270"/>
        <w:ind w:left="0" w:right="0" w:firstLine="0"/>
        <w:jc w:val="left"/>
      </w:pPr>
      <w:bookmarkStart w:name="h_8" w:id="108"/>
      <w:r>
        <w:rPr>
          <w:rFonts w:ascii="Times New Roman" w:cs="Times New Roman" w:eastAsia="Times New Roman" w:hAnsi="Times New Roman"/>
          <w:b/>
          <w:bCs/>
          <w:i w:val="false"/>
          <w:iCs w:val="false"/>
          <w:color w:val="000000"/>
          <w:sz w:val="24"/>
          <w:szCs w:val="24"/>
        </w:rPr>
        <w:t xml:space="preserve">Authorisation</w:t>
      </w:r>
      <w:bookmarkEnd w:id="108"/>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Every service validates the token independently rather than trusting the gateway to have done so. Within a service, authorisation is checked twice, once in the request handler and once in the service layer. The second check is not redundant. It protects a code path reached from a scheduled job or an internal caller that never passes through a handler.</w:t>
      </w:r>
    </w:p>
    <w:p>
      <w:pPr>
        <w:pStyle w:val="Heading2"/>
        <w:numPr>
          <w:ilvl w:val="1"/>
          <w:numId w:val="2"/>
        </w:numPr>
        <w:spacing w:after="150" w:before="270"/>
        <w:ind w:left="0" w:right="0" w:firstLine="0"/>
        <w:jc w:val="left"/>
      </w:pPr>
      <w:bookmarkStart w:name="h_9" w:id="109"/>
      <w:r>
        <w:rPr>
          <w:rFonts w:ascii="Times New Roman" w:cs="Times New Roman" w:eastAsia="Times New Roman" w:hAnsi="Times New Roman"/>
          <w:b/>
          <w:bCs/>
          <w:i w:val="false"/>
          <w:iCs w:val="false"/>
          <w:color w:val="000000"/>
          <w:sz w:val="24"/>
          <w:szCs w:val="24"/>
        </w:rPr>
        <w:t xml:space="preserve">Clinical Confidentiality</w:t>
      </w:r>
      <w:bookmarkEnd w:id="109"/>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rule that only the Health and Wellness Officer may retrieve an individual clinical record is enforced in four independent places.</w:t>
      </w:r>
    </w:p>
    <w:p>
      <w:pPr>
        <w:spacing w:after="60" w:before="160" w:line="240" w:lineRule="auto"/>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28950"/>
                    </a:xfrm>
                    <a:prstGeom prst="rect">
                      <a:avLst/>
                    </a:prstGeom>
                  </pic:spPr>
                </pic:pic>
              </a:graphicData>
            </a:graphic>
          </wp:inline>
        </w:drawing>
      </w:r>
    </w:p>
    <w:p>
      <w:pPr>
        <w:pStyle w:val="FigureCaption"/>
        <w:spacing w:after="120" w:before="120"/>
        <w:ind w:left="0" w:right="0" w:firstLine="0"/>
        <w:jc w:val="left"/>
      </w:pPr>
      <w:bookmarkStart w:name="fig_2_1" w:id="110"/>
      <w:r>
        <w:rPr>
          <w:rFonts w:ascii="Times New Roman" w:cs="Times New Roman" w:eastAsia="Times New Roman" w:hAnsi="Times New Roman"/>
          <w:b w:val="false"/>
          <w:bCs w:val="false"/>
          <w:i/>
          <w:iCs/>
          <w:color w:val="000000"/>
          <w:sz w:val="18"/>
          <w:szCs w:val="18"/>
        </w:rPr>
        <w:t xml:space="preserve">Figure 2.1</w:t>
      </w:r>
      <w:bookmarkEnd w:id="110"/>
      <w:r>
        <w:rPr>
          <w:rFonts w:ascii="Times New Roman" w:cs="Times New Roman" w:eastAsia="Times New Roman" w:hAnsi="Times New Roman"/>
          <w:b w:val="false"/>
          <w:bCs w:val="false"/>
          <w:i/>
          <w:iCs/>
          <w:color w:val="000000"/>
          <w:sz w:val="18"/>
          <w:szCs w:val="18"/>
        </w:rPr>
        <w:t xml:space="preserve">: The Four Layers Enforcing Clinical Access</w:t>
      </w:r>
    </w:p>
    <w:p>
      <w:pPr>
        <w:pStyle w:val="TableCaption"/>
        <w:spacing w:after="120" w:before="120"/>
        <w:ind w:left="0" w:right="0" w:firstLine="0"/>
        <w:jc w:val="left"/>
      </w:pPr>
      <w:bookmarkStart w:name="tbl_2_1" w:id="111"/>
      <w:r>
        <w:rPr>
          <w:rFonts w:ascii="Times New Roman" w:cs="Times New Roman" w:eastAsia="Times New Roman" w:hAnsi="Times New Roman"/>
          <w:b w:val="false"/>
          <w:bCs w:val="false"/>
          <w:i/>
          <w:iCs/>
          <w:color w:val="000000"/>
          <w:sz w:val="18"/>
          <w:szCs w:val="18"/>
        </w:rPr>
        <w:t xml:space="preserve">Table 2.1</w:t>
      </w:r>
      <w:bookmarkEnd w:id="111"/>
      <w:r>
        <w:rPr>
          <w:rFonts w:ascii="Times New Roman" w:cs="Times New Roman" w:eastAsia="Times New Roman" w:hAnsi="Times New Roman"/>
          <w:b w:val="false"/>
          <w:bCs w:val="false"/>
          <w:i/>
          <w:iCs/>
          <w:color w:val="000000"/>
          <w:sz w:val="18"/>
          <w:szCs w:val="18"/>
        </w:rPr>
        <w:t xml:space="preserve">: Clinical Access Controls and Their Assessment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901"/>
        <w:gridCol w:w="3802"/>
        <w:gridCol w:w="3422"/>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90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Layer</w:t>
            </w:r>
          </w:p>
        </w:tc>
        <w:tc>
          <w:tcPr>
            <w:tcW w:type="dxa" w:w="380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Control</w:t>
            </w:r>
          </w:p>
        </w:tc>
        <w:tc>
          <w:tcPr>
            <w:tcW w:type="dxa" w:w="342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Assessment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Identity provider</w:t>
            </w:r>
          </w:p>
        </w:tc>
        <w:tc>
          <w:tcPr>
            <w:tcW w:type="dxa" w:w="380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Only the officer role carries the clinical role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Effective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Route table</w:t>
            </w:r>
          </w:p>
        </w:tc>
        <w:tc>
          <w:tcPr>
            <w:tcW w:type="dxa" w:w="380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 routes are not offered to any other role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Effective, and a courtesy rather than a control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Service</w:t>
            </w:r>
          </w:p>
        </w:tc>
        <w:tc>
          <w:tcPr>
            <w:tcW w:type="dxa" w:w="380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Role checked in the handler and again in the service layer</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Effective and proved by automated test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Deployment</w:t>
            </w:r>
          </w:p>
        </w:tc>
        <w:tc>
          <w:tcPr>
            <w:tcW w:type="dxa" w:w="380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Only the clinical service holds a credential for the clinical database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Effective. Strengthened further by network policy in the cluster manifests</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An automated suite asserts every clinical route against every role that is not the officer, and walks the route tree so that a route added without being covered fails the build. The suite runs against an unusable data layer, so a handler that reached data before checking the role would fail rather than pass. This is a genuine control and not a formality.</w:t>
      </w:r>
    </w:p>
    <w:p>
      <w:pPr>
        <w:pStyle w:val="Heading2"/>
        <w:numPr>
          <w:ilvl w:val="1"/>
          <w:numId w:val="2"/>
        </w:numPr>
        <w:spacing w:after="150" w:before="270"/>
        <w:ind w:left="0" w:right="0" w:firstLine="0"/>
        <w:jc w:val="left"/>
      </w:pPr>
      <w:bookmarkStart w:name="h_10" w:id="112"/>
      <w:r>
        <w:rPr>
          <w:rFonts w:ascii="Times New Roman" w:cs="Times New Roman" w:eastAsia="Times New Roman" w:hAnsi="Times New Roman"/>
          <w:b/>
          <w:bCs/>
          <w:i w:val="false"/>
          <w:iCs w:val="false"/>
          <w:color w:val="000000"/>
          <w:sz w:val="24"/>
          <w:szCs w:val="24"/>
        </w:rPr>
        <w:t xml:space="preserve">Access Logging</w:t>
      </w:r>
      <w:bookmarkEnd w:id="11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Ordinary audit practice logs changes. Under the Act the risk to the person arises from unauthorised reading rather than unauthorised writing, so a log that captured only changes would provide no evidence about the harm most likely to occur.</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Every retrieval of an individual clinical record is therefore written to an append only access log before the record is returned. The ordering is deliberate. A log written after the response is a log that is missing precisely when a process fails mid request, which is when somebody will ask what was read. If the log cannot be written the read does not happen.</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Searching the registry is logged as a retrieval, with the number of records returned, because a search by name reveals who attends the clinic just as surely as opening one record does.</w:t>
      </w:r>
    </w:p>
    <w:p>
      <w:pPr>
        <w:pStyle w:val="Heading1"/>
        <w:numPr>
          <w:ilvl w:val="0"/>
          <w:numId w:val="2"/>
        </w:numPr>
        <w:spacing w:after="170" w:before="300"/>
        <w:ind w:left="0" w:right="0" w:firstLine="0"/>
        <w:jc w:val="left"/>
      </w:pPr>
      <w:bookmarkStart w:name="h_11" w:id="113"/>
      <w:r>
        <w:rPr>
          <w:rFonts w:ascii="Times New Roman" w:cs="Times New Roman" w:eastAsia="Times New Roman" w:hAnsi="Times New Roman"/>
          <w:b/>
          <w:bCs/>
          <w:i w:val="false"/>
          <w:iCs w:val="false"/>
          <w:color w:val="000000"/>
          <w:sz w:val="24"/>
          <w:szCs w:val="24"/>
        </w:rPr>
        <w:t xml:space="preserve">Findings</w:t>
      </w:r>
      <w:bookmarkEnd w:id="113"/>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Twelve findings were raised. None is assessed as critical. Four are high, five are medium, two are low and one is an observation. Each is stated with what was observed, why it matters operationally, and the specific change that closes it.</w:t>
      </w:r>
    </w:p>
    <w:p>
      <w:pPr>
        <w:pStyle w:val="Heading2"/>
        <w:numPr>
          <w:ilvl w:val="1"/>
          <w:numId w:val="2"/>
        </w:numPr>
        <w:spacing w:after="150" w:before="270"/>
        <w:ind w:left="0" w:right="0" w:firstLine="0"/>
        <w:jc w:val="left"/>
      </w:pPr>
      <w:bookmarkStart w:name="h_12" w:id="114"/>
      <w:r>
        <w:rPr>
          <w:rFonts w:ascii="Times New Roman" w:cs="Times New Roman" w:eastAsia="Times New Roman" w:hAnsi="Times New Roman"/>
          <w:b/>
          <w:bCs/>
          <w:i w:val="false"/>
          <w:iCs w:val="false"/>
          <w:color w:val="000000"/>
          <w:sz w:val="24"/>
          <w:szCs w:val="24"/>
        </w:rPr>
        <w:t xml:space="preserve">High Findings</w:t>
      </w:r>
      <w:bookmarkEnd w:id="114"/>
    </w:p>
    <w:p>
      <w:pPr>
        <w:pStyle w:val="TableCaption"/>
        <w:spacing w:after="120" w:before="120"/>
        <w:ind w:left="0" w:right="0" w:firstLine="0"/>
        <w:jc w:val="left"/>
      </w:pPr>
      <w:bookmarkStart w:name="tbl_3_1" w:id="115"/>
      <w:r>
        <w:rPr>
          <w:rFonts w:ascii="Times New Roman" w:cs="Times New Roman" w:eastAsia="Times New Roman" w:hAnsi="Times New Roman"/>
          <w:b w:val="false"/>
          <w:bCs w:val="false"/>
          <w:i/>
          <w:iCs/>
          <w:color w:val="000000"/>
          <w:sz w:val="18"/>
          <w:szCs w:val="18"/>
        </w:rPr>
        <w:t xml:space="preserve">Table 3.1</w:t>
      </w:r>
      <w:bookmarkEnd w:id="115"/>
      <w:r>
        <w:rPr>
          <w:rFonts w:ascii="Times New Roman" w:cs="Times New Roman" w:eastAsia="Times New Roman" w:hAnsi="Times New Roman"/>
          <w:b w:val="false"/>
          <w:bCs w:val="false"/>
          <w:i/>
          <w:iCs/>
          <w:color w:val="000000"/>
          <w:sz w:val="18"/>
          <w:szCs w:val="18"/>
        </w:rPr>
        <w:t xml:space="preserve">: High Severity Findings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223"/>
        <w:gridCol w:w="2634"/>
        <w:gridCol w:w="2540"/>
        <w:gridCol w:w="2728"/>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22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263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Finding</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Impact</w:t>
            </w:r>
          </w:p>
        </w:tc>
        <w:tc>
          <w:tcPr>
            <w:tcW w:type="dxa" w:w="272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Remediation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SEC-01</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Transport encryption is not configured. The delivered stack serves plain traffic</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Credentials and clinical data would cross the network in the clear. The session cookie cannot be marked secure</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Terminate encryption at the ingress and set the secure cookie flag. Required before any deployment beyond a laptop</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SEC-02</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Development credentials are held in the repository, including identity provider client secrets</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Anyone with repository access holds the credentials of any environment that used them unchanged</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Generate fresh values from a KMC controlled source. Never deploy the repository defaults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SEC-03</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Multi factor authentication is not enabled for the officer or the manager</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single stolen password grants either clinical access or the ability to create accounts</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Enable a second factor in the identity provider for both roles. No application change required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SEC-04</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clinical access log has no tamper evidence beyond the database role restriction</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party with database level access could alter the record of who read what without detection</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Add append only enforcement at the database and ship the log to storage the application cannot write</w:t>
            </w:r>
          </w:p>
        </w:tc>
      </w:tr>
    </w:tbl>
    <w:p>
      <w:pPr>
        <w:pStyle w:val="Heading2"/>
        <w:numPr>
          <w:ilvl w:val="1"/>
          <w:numId w:val="2"/>
        </w:numPr>
        <w:spacing w:after="150" w:before="270"/>
        <w:ind w:left="0" w:right="0" w:firstLine="0"/>
        <w:jc w:val="left"/>
      </w:pPr>
      <w:bookmarkStart w:name="h_13" w:id="116"/>
      <w:r>
        <w:rPr>
          <w:rFonts w:ascii="Times New Roman" w:cs="Times New Roman" w:eastAsia="Times New Roman" w:hAnsi="Times New Roman"/>
          <w:b/>
          <w:bCs/>
          <w:i w:val="false"/>
          <w:iCs w:val="false"/>
          <w:color w:val="000000"/>
          <w:sz w:val="24"/>
          <w:szCs w:val="24"/>
        </w:rPr>
        <w:t xml:space="preserve">Medium Findings</w:t>
      </w:r>
      <w:bookmarkEnd w:id="116"/>
    </w:p>
    <w:p>
      <w:pPr>
        <w:pStyle w:val="TableCaption"/>
        <w:spacing w:after="120" w:before="120"/>
        <w:ind w:left="0" w:right="0" w:firstLine="0"/>
        <w:jc w:val="left"/>
      </w:pPr>
      <w:bookmarkStart w:name="tbl_3_2" w:id="117"/>
      <w:r>
        <w:rPr>
          <w:rFonts w:ascii="Times New Roman" w:cs="Times New Roman" w:eastAsia="Times New Roman" w:hAnsi="Times New Roman"/>
          <w:b w:val="false"/>
          <w:bCs w:val="false"/>
          <w:i/>
          <w:iCs/>
          <w:color w:val="000000"/>
          <w:sz w:val="18"/>
          <w:szCs w:val="18"/>
        </w:rPr>
        <w:t xml:space="preserve">Table 3.2</w:t>
      </w:r>
      <w:bookmarkEnd w:id="117"/>
      <w:r>
        <w:rPr>
          <w:rFonts w:ascii="Times New Roman" w:cs="Times New Roman" w:eastAsia="Times New Roman" w:hAnsi="Times New Roman"/>
          <w:b w:val="false"/>
          <w:bCs w:val="false"/>
          <w:i/>
          <w:iCs/>
          <w:color w:val="000000"/>
          <w:sz w:val="18"/>
          <w:szCs w:val="18"/>
        </w:rPr>
        <w:t xml:space="preserve">: Medium Severity Findings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223"/>
        <w:gridCol w:w="2634"/>
        <w:gridCol w:w="2540"/>
        <w:gridCol w:w="2728"/>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22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263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Finding</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Impact</w:t>
            </w:r>
          </w:p>
        </w:tc>
        <w:tc>
          <w:tcPr>
            <w:tcW w:type="dxa" w:w="272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Remediation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SEC-05</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Session state is held in the gateway process</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restart signs everybody out. The gateway cannot be scaled, so it is a single point of failure</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Move the session store behind the existing interface to a shared store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SEC-06</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There is no rate limit on the sign in path</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Password guessing is slowed only by the identity provider lockout</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Apply a rate limit at the ingress in addition to the lockout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SEC-07</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Logs and traces are not aggregated</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Investigating an incident requires reading each service separately, and log retention is not assured</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Add collection to storage held outside the services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SEC-08</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Amendment of a signed clinical record is not implemented</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correction cannot be made, so pressure will build to reopen a signed record, which would defeat the signature</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Build the appended amendment before real records are entered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SEC-09</w:t>
            </w:r>
          </w:p>
        </w:tc>
        <w:tc>
          <w:tcPr>
            <w:tcW w:type="dxa" w:w="26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automated dependency or image vulnerability scanning is configured</w:t>
            </w:r>
          </w:p>
        </w:tc>
        <w:tc>
          <w:tcPr>
            <w:tcW w:type="dxa" w:w="25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known vulnerability in a dependency would not be noticed</w:t>
            </w:r>
          </w:p>
        </w:tc>
        <w:tc>
          <w:tcPr>
            <w:tcW w:type="dxa" w:w="272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Add scanning to the build once a pipeline exists</w:t>
            </w:r>
          </w:p>
        </w:tc>
      </w:tr>
    </w:tbl>
    <w:p>
      <w:pPr>
        <w:pStyle w:val="Heading2"/>
        <w:numPr>
          <w:ilvl w:val="1"/>
          <w:numId w:val="2"/>
        </w:numPr>
        <w:spacing w:after="150" w:before="270"/>
        <w:ind w:left="0" w:right="0" w:firstLine="0"/>
        <w:jc w:val="left"/>
      </w:pPr>
      <w:bookmarkStart w:name="h_14" w:id="118"/>
      <w:r>
        <w:rPr>
          <w:rFonts w:ascii="Times New Roman" w:cs="Times New Roman" w:eastAsia="Times New Roman" w:hAnsi="Times New Roman"/>
          <w:b/>
          <w:bCs/>
          <w:i w:val="false"/>
          <w:iCs w:val="false"/>
          <w:color w:val="000000"/>
          <w:sz w:val="24"/>
          <w:szCs w:val="24"/>
        </w:rPr>
        <w:t xml:space="preserve">Low Findings and Observations</w:t>
      </w:r>
      <w:bookmarkEnd w:id="118"/>
    </w:p>
    <w:p>
      <w:pPr>
        <w:pStyle w:val="TableCaption"/>
        <w:spacing w:after="120" w:before="120"/>
        <w:ind w:left="0" w:right="0" w:firstLine="0"/>
        <w:jc w:val="left"/>
      </w:pPr>
      <w:bookmarkStart w:name="tbl_3_3" w:id="119"/>
      <w:r>
        <w:rPr>
          <w:rFonts w:ascii="Times New Roman" w:cs="Times New Roman" w:eastAsia="Times New Roman" w:hAnsi="Times New Roman"/>
          <w:b w:val="false"/>
          <w:bCs w:val="false"/>
          <w:i/>
          <w:iCs/>
          <w:color w:val="000000"/>
          <w:sz w:val="18"/>
          <w:szCs w:val="18"/>
        </w:rPr>
        <w:t xml:space="preserve">Table 3.3</w:t>
      </w:r>
      <w:bookmarkEnd w:id="119"/>
      <w:r>
        <w:rPr>
          <w:rFonts w:ascii="Times New Roman" w:cs="Times New Roman" w:eastAsia="Times New Roman" w:hAnsi="Times New Roman"/>
          <w:b w:val="false"/>
          <w:bCs w:val="false"/>
          <w:i/>
          <w:iCs/>
          <w:color w:val="000000"/>
          <w:sz w:val="18"/>
          <w:szCs w:val="18"/>
        </w:rPr>
        <w:t xml:space="preserve">: Low Severity Findings and Observations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223"/>
        <w:gridCol w:w="1317"/>
        <w:gridCol w:w="3763"/>
        <w:gridCol w:w="2822"/>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22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131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Severity</w:t>
            </w:r>
          </w:p>
        </w:tc>
        <w:tc>
          <w:tcPr>
            <w:tcW w:type="dxa" w:w="376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Finding</w:t>
            </w:r>
          </w:p>
        </w:tc>
        <w:tc>
          <w:tcPr>
            <w:tcW w:type="dxa" w:w="282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Remediation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SEC-10</w:t>
            </w:r>
          </w:p>
        </w:tc>
        <w:tc>
          <w:tcPr>
            <w:tcW w:type="dxa" w:w="131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376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identity provider administrative console is exposed on the same host as the application</w:t>
            </w:r>
          </w:p>
        </w:tc>
        <w:tc>
          <w:tcPr>
            <w:tcW w:type="dxa" w:w="28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Restrict the console to an administrative network</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SEC-11</w:t>
            </w:r>
          </w:p>
        </w:tc>
        <w:tc>
          <w:tcPr>
            <w:tcW w:type="dxa" w:w="131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376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Backups are not yet configured in any environment</w:t>
            </w:r>
          </w:p>
        </w:tc>
        <w:tc>
          <w:tcPr>
            <w:tcW w:type="dxa" w:w="28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Configure nightly encrypted backup, with the clinical backup under a separate key, before real records exist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2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SEC-12</w:t>
            </w:r>
          </w:p>
        </w:tc>
        <w:tc>
          <w:tcPr>
            <w:tcW w:type="dxa" w:w="131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Observation</w:t>
            </w:r>
          </w:p>
        </w:tc>
        <w:tc>
          <w:tcPr>
            <w:tcW w:type="dxa" w:w="376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interface hides controls a role may not use rather than disabling them</w:t>
            </w:r>
          </w:p>
        </w:tc>
        <w:tc>
          <w:tcPr>
            <w:tcW w:type="dxa" w:w="28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action. This is deliberate and correct, and is recorded so it is not mistaken for a gap</w:t>
            </w:r>
          </w:p>
        </w:tc>
      </w:tr>
    </w:tbl>
    <w:p>
      <w:pPr>
        <w:pStyle w:val="Heading2"/>
        <w:numPr>
          <w:ilvl w:val="1"/>
          <w:numId w:val="2"/>
        </w:numPr>
        <w:spacing w:after="150" w:before="270"/>
        <w:ind w:left="0" w:right="0" w:firstLine="0"/>
        <w:jc w:val="left"/>
      </w:pPr>
      <w:bookmarkStart w:name="h_15" w:id="120"/>
      <w:r>
        <w:rPr>
          <w:rFonts w:ascii="Times New Roman" w:cs="Times New Roman" w:eastAsia="Times New Roman" w:hAnsi="Times New Roman"/>
          <w:b/>
          <w:bCs/>
          <w:i w:val="false"/>
          <w:iCs w:val="false"/>
          <w:color w:val="000000"/>
          <w:sz w:val="24"/>
          <w:szCs w:val="24"/>
        </w:rPr>
        <w:t xml:space="preserve">What Was Found To Be Sound</w:t>
      </w:r>
      <w:bookmarkEnd w:id="120"/>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following were examined and assessed as effective. They are recorded because they are the parts of a security design that are difficult to retrofit, and because a review that lists only weaknesses gives a false impression of the whole.</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Delegated authentication, so the application never handles a password.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Tokens held server side, with the browser holding an opaque identifier only.</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Authorisation checked at two layers within each service, and proved by a suite that blocks the build.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The clinical database as a separate instance with credentials issued to one service alone.</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Read access logging that fails the read rather than serving a record unlogged.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Account administration performed by the service through its own account rather than by replaying the user token.</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Containers built from a minimal base, running as a non root user with a read only filesystem.</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No clinical content in any log line, metric label or trace, with route templates used as labels.</w:t>
      </w:r>
    </w:p>
    <w:p>
      <w:pPr>
        <w:pStyle w:val="Heading1"/>
        <w:numPr>
          <w:ilvl w:val="0"/>
          <w:numId w:val="2"/>
        </w:numPr>
        <w:spacing w:after="170" w:before="300"/>
        <w:ind w:left="0" w:right="0" w:firstLine="0"/>
        <w:jc w:val="left"/>
      </w:pPr>
      <w:bookmarkStart w:name="h_16" w:id="121"/>
      <w:r>
        <w:rPr>
          <w:rFonts w:ascii="Times New Roman" w:cs="Times New Roman" w:eastAsia="Times New Roman" w:hAnsi="Times New Roman"/>
          <w:b/>
          <w:bCs/>
          <w:i w:val="false"/>
          <w:iCs w:val="false"/>
          <w:color w:val="000000"/>
          <w:sz w:val="24"/>
          <w:szCs w:val="24"/>
        </w:rPr>
        <w:t xml:space="preserve">Data Protection</w:t>
      </w:r>
      <w:bookmarkEnd w:id="121"/>
    </w:p>
    <w:p>
      <w:pPr>
        <w:pStyle w:val="Heading2"/>
        <w:numPr>
          <w:ilvl w:val="1"/>
          <w:numId w:val="2"/>
        </w:numPr>
        <w:spacing w:after="150" w:before="270"/>
        <w:ind w:left="0" w:right="0" w:firstLine="0"/>
        <w:jc w:val="left"/>
      </w:pPr>
      <w:bookmarkStart w:name="h_17" w:id="122"/>
      <w:r>
        <w:rPr>
          <w:rFonts w:ascii="Times New Roman" w:cs="Times New Roman" w:eastAsia="Times New Roman" w:hAnsi="Times New Roman"/>
          <w:b/>
          <w:bCs/>
          <w:i w:val="false"/>
          <w:iCs w:val="false"/>
          <w:color w:val="000000"/>
          <w:sz w:val="24"/>
          <w:szCs w:val="24"/>
        </w:rPr>
        <w:t xml:space="preserve">Obligations</w:t>
      </w:r>
      <w:bookmarkEnd w:id="12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Data concerning health is special personal data under the Act. The obligations that bear most directly on this system are lawful basis, data minimisation, the ability to report who accessed a person record, retention limits, and the security of processing.</w:t>
      </w:r>
    </w:p>
    <w:p>
      <w:pPr>
        <w:pStyle w:val="TableCaption"/>
        <w:spacing w:after="120" w:before="120"/>
        <w:ind w:left="0" w:right="0" w:firstLine="0"/>
        <w:jc w:val="left"/>
      </w:pPr>
      <w:bookmarkStart w:name="tbl_4_1" w:id="123"/>
      <w:r>
        <w:rPr>
          <w:rFonts w:ascii="Times New Roman" w:cs="Times New Roman" w:eastAsia="Times New Roman" w:hAnsi="Times New Roman"/>
          <w:b w:val="false"/>
          <w:bCs w:val="false"/>
          <w:i/>
          <w:iCs/>
          <w:color w:val="000000"/>
          <w:sz w:val="18"/>
          <w:szCs w:val="18"/>
        </w:rPr>
        <w:t xml:space="preserve">Table 4.1</w:t>
      </w:r>
      <w:bookmarkEnd w:id="123"/>
      <w:r>
        <w:rPr>
          <w:rFonts w:ascii="Times New Roman" w:cs="Times New Roman" w:eastAsia="Times New Roman" w:hAnsi="Times New Roman"/>
          <w:b w:val="false"/>
          <w:bCs w:val="false"/>
          <w:i/>
          <w:iCs/>
          <w:color w:val="000000"/>
          <w:sz w:val="18"/>
          <w:szCs w:val="18"/>
        </w:rPr>
        <w:t xml:space="preserve">: Data Protection Obligations and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471"/>
        <w:gridCol w:w="3232"/>
        <w:gridCol w:w="3422"/>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47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Obligation</w:t>
            </w:r>
          </w:p>
        </w:tc>
        <w:tc>
          <w:tcPr>
            <w:tcW w:type="dxa" w:w="323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Position</w:t>
            </w:r>
          </w:p>
        </w:tc>
        <w:tc>
          <w:tcPr>
            <w:tcW w:type="dxa" w:w="342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Outstanding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Lawful basis and privacy notice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 yet established</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Required before real records. Owned by the 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minimisation by role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Implemented. Each role sees only what its function requires</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Record of access to a person data</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Implemented through the clinical access log</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Tamper evidence, see SEC-04</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Retention and disposal</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 set. No period is assumed by the system</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Policy required. The system does not invent one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Security of processing</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Partly implemented</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Transport encryption and backups, see SEC-01 and SEC-11</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residency</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Deployed only on KMC controlled infrastructure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To be confirmed as an approved position</w:t>
            </w:r>
          </w:p>
        </w:tc>
      </w:tr>
    </w:tbl>
    <w:p>
      <w:pPr>
        <w:pStyle w:val="Heading2"/>
        <w:numPr>
          <w:ilvl w:val="1"/>
          <w:numId w:val="2"/>
        </w:numPr>
        <w:spacing w:after="150" w:before="270"/>
        <w:ind w:left="0" w:right="0" w:firstLine="0"/>
        <w:jc w:val="left"/>
      </w:pPr>
      <w:bookmarkStart w:name="h_18" w:id="124"/>
      <w:r>
        <w:rPr>
          <w:rFonts w:ascii="Times New Roman" w:cs="Times New Roman" w:eastAsia="Times New Roman" w:hAnsi="Times New Roman"/>
          <w:b/>
          <w:bCs/>
          <w:i w:val="false"/>
          <w:iCs w:val="false"/>
          <w:color w:val="000000"/>
          <w:sz w:val="24"/>
          <w:szCs w:val="24"/>
        </w:rPr>
        <w:t xml:space="preserve">Synthetic Data in Non Production</w:t>
      </w:r>
      <w:bookmarkEnd w:id="124"/>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No real clinical record is copied into a development, testing or demonstration environment at any point. This is stated as an absolute because it is the control most often eroded by convenience, and because a copy of clinical data taken for testing is a disclosure whatever the intention behind it.</w:t>
      </w:r>
    </w:p>
    <w:p>
      <w:pPr>
        <w:pStyle w:val="Heading2"/>
        <w:numPr>
          <w:ilvl w:val="1"/>
          <w:numId w:val="2"/>
        </w:numPr>
        <w:spacing w:after="150" w:before="270"/>
        <w:ind w:left="0" w:right="0" w:firstLine="0"/>
        <w:jc w:val="left"/>
      </w:pPr>
      <w:bookmarkStart w:name="h_19" w:id="125"/>
      <w:r>
        <w:rPr>
          <w:rFonts w:ascii="Times New Roman" w:cs="Times New Roman" w:eastAsia="Times New Roman" w:hAnsi="Times New Roman"/>
          <w:b/>
          <w:bCs/>
          <w:i w:val="false"/>
          <w:iCs w:val="false"/>
          <w:color w:val="000000"/>
          <w:sz w:val="24"/>
          <w:szCs w:val="24"/>
        </w:rPr>
        <w:t xml:space="preserve">A Conflict Requiring a Decision</w:t>
      </w:r>
      <w:bookmarkEnd w:id="125"/>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referral form requires the Head of Division and the Chief of Staff to sign a document that carries a provisional diagnosis, HIV status and mental health condition. That cannot stand alongside the rule that no management role sees an individual clinical record.</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referral authorisation view has therefore not been built. The recommendation is that authorisers see the patient, the destination facility, the reason for referral and any cost implication, and that clinical detail remains between the officer and the receiving facility. If KMC decides that authorisers do see clinical content, that is a decision the Corporation is entitled to take, and it must be taken knowingly and recorded rather than arrived at because a form was digitised as drawn.</w:t>
      </w:r>
    </w:p>
    <w:p>
      <w:pPr>
        <w:pStyle w:val="Heading1"/>
        <w:numPr>
          <w:ilvl w:val="0"/>
          <w:numId w:val="2"/>
        </w:numPr>
        <w:spacing w:after="170" w:before="300"/>
        <w:ind w:left="0" w:right="0" w:firstLine="0"/>
        <w:jc w:val="left"/>
      </w:pPr>
      <w:bookmarkStart w:name="h_20" w:id="126"/>
      <w:r>
        <w:rPr>
          <w:rFonts w:ascii="Times New Roman" w:cs="Times New Roman" w:eastAsia="Times New Roman" w:hAnsi="Times New Roman"/>
          <w:b/>
          <w:bCs/>
          <w:i w:val="false"/>
          <w:iCs w:val="false"/>
          <w:color w:val="000000"/>
          <w:sz w:val="24"/>
          <w:szCs w:val="24"/>
        </w:rPr>
        <w:t xml:space="preserve">Remediation</w:t>
      </w:r>
      <w:bookmarkEnd w:id="126"/>
    </w:p>
    <w:p>
      <w:pPr>
        <w:pStyle w:val="Heading2"/>
        <w:numPr>
          <w:ilvl w:val="1"/>
          <w:numId w:val="2"/>
        </w:numPr>
        <w:spacing w:after="150" w:before="270"/>
        <w:ind w:left="0" w:right="0" w:firstLine="0"/>
        <w:jc w:val="left"/>
      </w:pPr>
      <w:bookmarkStart w:name="h_21" w:id="127"/>
      <w:r>
        <w:rPr>
          <w:rFonts w:ascii="Times New Roman" w:cs="Times New Roman" w:eastAsia="Times New Roman" w:hAnsi="Times New Roman"/>
          <w:b/>
          <w:bCs/>
          <w:i w:val="false"/>
          <w:iCs w:val="false"/>
          <w:color w:val="000000"/>
          <w:sz w:val="24"/>
          <w:szCs w:val="24"/>
        </w:rPr>
        <w:t xml:space="preserve">Before User Testing</w:t>
      </w:r>
      <w:bookmarkEnd w:id="127"/>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User testing uses synthetic data only, so the bar is lower than for production. The following must nonetheless be closed, because testing takes place on a KMC network with real accounts held by real people.</w:t>
      </w:r>
    </w:p>
    <w:p>
      <w:pPr>
        <w:pStyle w:val="TableCaption"/>
        <w:spacing w:after="120" w:before="120"/>
        <w:ind w:left="0" w:right="0" w:firstLine="0"/>
        <w:jc w:val="left"/>
      </w:pPr>
      <w:bookmarkStart w:name="tbl_5_1" w:id="128"/>
      <w:r>
        <w:rPr>
          <w:rFonts w:ascii="Times New Roman" w:cs="Times New Roman" w:eastAsia="Times New Roman" w:hAnsi="Times New Roman"/>
          <w:b w:val="false"/>
          <w:bCs w:val="false"/>
          <w:i/>
          <w:iCs/>
          <w:color w:val="000000"/>
          <w:sz w:val="18"/>
          <w:szCs w:val="18"/>
        </w:rPr>
        <w:t xml:space="preserve">Table 5.1</w:t>
      </w:r>
      <w:bookmarkEnd w:id="128"/>
      <w:r>
        <w:rPr>
          <w:rFonts w:ascii="Times New Roman" w:cs="Times New Roman" w:eastAsia="Times New Roman" w:hAnsi="Times New Roman"/>
          <w:b w:val="false"/>
          <w:bCs w:val="false"/>
          <w:i/>
          <w:iCs/>
          <w:color w:val="000000"/>
          <w:sz w:val="18"/>
          <w:szCs w:val="18"/>
        </w:rPr>
        <w:t xml:space="preserve">: Remediation Required Before User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330"/>
        <w:gridCol w:w="5133"/>
        <w:gridCol w:w="266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3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513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Action</w:t>
            </w:r>
          </w:p>
        </w:tc>
        <w:tc>
          <w:tcPr>
            <w:tcW w:type="dxa" w:w="266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SEC-01</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Terminate transport encryption at the ingress and set the secure cookie flag</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SEC-02</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Replace every development credential with a value generated from a controlled source</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SEC-10</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Restrict the identity provider administrative console to an administrative network</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Confirm in writing that the environment holds synthetic data only, and that participants are named</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Division</w:t>
            </w:r>
          </w:p>
        </w:tc>
      </w:tr>
    </w:tbl>
    <w:p>
      <w:pPr>
        <w:pStyle w:val="Heading2"/>
        <w:numPr>
          <w:ilvl w:val="1"/>
          <w:numId w:val="2"/>
        </w:numPr>
        <w:spacing w:after="150" w:before="270"/>
        <w:ind w:left="0" w:right="0" w:firstLine="0"/>
        <w:jc w:val="left"/>
      </w:pPr>
      <w:bookmarkStart w:name="h_22" w:id="129"/>
      <w:r>
        <w:rPr>
          <w:rFonts w:ascii="Times New Roman" w:cs="Times New Roman" w:eastAsia="Times New Roman" w:hAnsi="Times New Roman"/>
          <w:b/>
          <w:bCs/>
          <w:i w:val="false"/>
          <w:iCs w:val="false"/>
          <w:color w:val="000000"/>
          <w:sz w:val="24"/>
          <w:szCs w:val="24"/>
        </w:rPr>
        <w:t xml:space="preserve">Before Real Clinical Records</w:t>
      </w:r>
      <w:bookmarkEnd w:id="129"/>
    </w:p>
    <w:p>
      <w:pPr>
        <w:pStyle w:val="TableCaption"/>
        <w:spacing w:after="120" w:before="120"/>
        <w:ind w:left="0" w:right="0" w:firstLine="0"/>
        <w:jc w:val="left"/>
      </w:pPr>
      <w:bookmarkStart w:name="tbl_5_2" w:id="130"/>
      <w:r>
        <w:rPr>
          <w:rFonts w:ascii="Times New Roman" w:cs="Times New Roman" w:eastAsia="Times New Roman" w:hAnsi="Times New Roman"/>
          <w:b w:val="false"/>
          <w:bCs w:val="false"/>
          <w:i/>
          <w:iCs/>
          <w:color w:val="000000"/>
          <w:sz w:val="18"/>
          <w:szCs w:val="18"/>
        </w:rPr>
        <w:t xml:space="preserve">Table 5.2</w:t>
      </w:r>
      <w:bookmarkEnd w:id="130"/>
      <w:r>
        <w:rPr>
          <w:rFonts w:ascii="Times New Roman" w:cs="Times New Roman" w:eastAsia="Times New Roman" w:hAnsi="Times New Roman"/>
          <w:b w:val="false"/>
          <w:bCs w:val="false"/>
          <w:i/>
          <w:iCs/>
          <w:color w:val="000000"/>
          <w:sz w:val="18"/>
          <w:szCs w:val="18"/>
        </w:rPr>
        <w:t xml:space="preserve">: Remediation Required Before Any Real Clinical Record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330"/>
        <w:gridCol w:w="5133"/>
        <w:gridCol w:w="266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3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513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Action</w:t>
            </w:r>
          </w:p>
        </w:tc>
        <w:tc>
          <w:tcPr>
            <w:tcW w:type="dxa" w:w="266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SEC-03</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Enable multi factor authentication for the officer and manager roles</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SEC-04</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Add tamper evidence to the clinical access log and ship it beyond the application</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SEC-08</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Build appended amendment of a signed clinical record</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Development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SEC-11</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Configure nightly encrypted backup with a separate clinical key, and test a restore</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Establish lawful basis, privacy notice and retention policy</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Settle the referral authorisation conflict described in Section 4.3</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 and 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c>
          <w:tcPr>
            <w:tcW w:type="dxa" w:w="513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Appoint named business, technical and data owners</w:t>
            </w:r>
          </w:p>
        </w:tc>
        <w:tc>
          <w:tcPr>
            <w:tcW w:type="dxa" w:w="266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Department and ICT</w:t>
            </w:r>
          </w:p>
        </w:tc>
      </w:tr>
    </w:tbl>
    <w:p>
      <w:pPr>
        <w:pStyle w:val="Heading2"/>
        <w:numPr>
          <w:ilvl w:val="1"/>
          <w:numId w:val="2"/>
        </w:numPr>
        <w:spacing w:after="150" w:before="270"/>
        <w:ind w:left="0" w:right="0" w:firstLine="0"/>
        <w:jc w:val="left"/>
      </w:pPr>
      <w:bookmarkStart w:name="h_23" w:id="131"/>
      <w:r>
        <w:rPr>
          <w:rFonts w:ascii="Times New Roman" w:cs="Times New Roman" w:eastAsia="Times New Roman" w:hAnsi="Times New Roman"/>
          <w:b/>
          <w:bCs/>
          <w:i w:val="false"/>
          <w:iCs w:val="false"/>
          <w:color w:val="000000"/>
          <w:sz w:val="24"/>
          <w:szCs w:val="24"/>
        </w:rPr>
        <w:t xml:space="preserve">Compensating Controls During Testing</w:t>
      </w:r>
      <w:bookmarkEnd w:id="13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Until the remediation in Section 5.2 is complete, the following compensating controls are proposed for the duration of user testing and should be formally adopted.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The environment holds synthetic records only, and this is verified before each testing session rather than assumed.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Access is restricted to named participants, and accounts are disabled at the end of testing.</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The environment is reachable only from the plant network.</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Any defect that exposes a record across roles halts testing until it is closed.</w:t>
      </w:r>
    </w:p>
    <w:p>
      <w:pPr>
        <w:pStyle w:val="Heading1"/>
        <w:numPr>
          <w:ilvl w:val="0"/>
          <w:numId w:val="2"/>
        </w:numPr>
        <w:spacing w:after="170" w:before="300"/>
        <w:ind w:left="0" w:right="0" w:firstLine="0"/>
        <w:jc w:val="left"/>
      </w:pPr>
      <w:bookmarkStart w:name="h_24" w:id="132"/>
      <w:r>
        <w:rPr>
          <w:rFonts w:ascii="Times New Roman" w:cs="Times New Roman" w:eastAsia="Times New Roman" w:hAnsi="Times New Roman"/>
          <w:b/>
          <w:bCs/>
          <w:i w:val="false"/>
          <w:iCs w:val="false"/>
          <w:color w:val="000000"/>
          <w:sz w:val="24"/>
          <w:szCs w:val="24"/>
        </w:rPr>
        <w:t xml:space="preserve">Conclusion</w:t>
      </w:r>
      <w:bookmarkEnd w:id="13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demonstrates a well constructed confidentiality design. Delegated authentication, tokens held away from the browser, authorisation checked twice and proved by test, a separately credentialed clinical database and access logging that refuses to serve an unlogged record are the parts of a security design that are difficult to retrofit, and they are present and working.</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weaknesses are concentrated where a deployment platform ordinarily supplies the control rather than the application. Transport encryption, secret management, backups, rate limiting and log aggregation are platform responsibilities that have not been built because the platform has not been chosen. The two application weaknesses that matter most are the absence of a second authentication factor and the absence of an amendment path for a signed record.</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review concludes that the system may proceed to user testing with synthetic data, subject to the remediation in Section 5.1 being completed and evidenced. It further concludes that no real clinical record may be entered until the remediation in Section 5.2 is complete and the outstanding data protection decisions are settled.</w:t>
      </w:r>
    </w:p>
    <w:p>
      <w:r>
        <w:rPr>
          <w:rFonts w:ascii="Times New Roman" w:cs="Times New Roman" w:eastAsia="Times New Roman" w:hAnsi="Times New Roman"/>
          <w:b w:val="false"/>
          <w:bCs w:val="false"/>
          <w:i w:val="false"/>
          <w:iCs w:val="false"/>
          <w:color w:val="000000"/>
          <w:sz w:val="24"/>
          <w:szCs w:val="24"/>
        </w:rPr>
        <w:t xml:space="preserve"/>
      </w:r>
    </w:p>
    <w:p>
      <w:pPr>
        <w:pStyle w:val="TableCaption"/>
        <w:spacing w:after="120" w:before="120"/>
        <w:ind w:left="0" w:right="0" w:firstLine="0"/>
        <w:jc w:val="left"/>
      </w:pPr>
      <w:bookmarkStart w:name="tbl_6_1" w:id="133"/>
      <w:r>
        <w:rPr>
          <w:rFonts w:ascii="Times New Roman" w:cs="Times New Roman" w:eastAsia="Times New Roman" w:hAnsi="Times New Roman"/>
          <w:b w:val="false"/>
          <w:bCs w:val="false"/>
          <w:i/>
          <w:iCs/>
          <w:color w:val="000000"/>
          <w:sz w:val="18"/>
          <w:szCs w:val="18"/>
        </w:rPr>
        <w:t xml:space="preserve">Table 6.1</w:t>
      </w:r>
      <w:bookmarkEnd w:id="133"/>
      <w:r>
        <w:rPr>
          <w:rFonts w:ascii="Times New Roman" w:cs="Times New Roman" w:eastAsia="Times New Roman" w:hAnsi="Times New Roman"/>
          <w:b w:val="false"/>
          <w:bCs w:val="false"/>
          <w:i/>
          <w:iCs/>
          <w:color w:val="000000"/>
          <w:sz w:val="18"/>
          <w:szCs w:val="18"/>
        </w:rPr>
        <w:t xml:space="preserve">: Information Security Review Sign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1988"/>
        <w:gridCol w:w="2187"/>
        <w:gridCol w:w="1392"/>
      </w:tblGrid>
      <w:tr>
        <w:trPr>
          <w:tblHeader/>
        </w:trPr>
        <w:tc>
          <w:tcPr>
            <w:tcW w:type="dxa" w:w="417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198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Name</w:t>
            </w:r>
          </w:p>
        </w:tc>
        <w:tc>
          <w:tcPr>
            <w:tcW w:type="dxa" w:w="218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Signature</w:t>
            </w:r>
          </w:p>
        </w:tc>
        <w:tc>
          <w:tcPr>
            <w:tcW w:type="dxa" w:w="139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Date</w:t>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 Software Engineering Intern</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Reviewed by, KMC ICT</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Compensating controls accepted by, Data Protection Owner</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Approved by, Head of Department, Quality, Health, Safety and Environment</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bl>
    <w:sectPr>
      <w:footerReference w:type="default" r:id="rId7"/>
      <w:footerReference w:type="first" r:id="rId8"/>
      <w:pgSz w:w="11906" w:h="16838" w:orient="portrait"/>
      <w:pgMar w:top="1440" w:right="1080" w:bottom="144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val="false"/>
        <w:bCs w:val="false"/>
        <w:i w:val="false"/>
        <w:iCs w:val="false"/>
        <w:color w:val="000000"/>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hanging="0"/>
      </w:pPr>
    </w:lvl>
    <w:lvl w:ilvl="1" w15:tentative="1">
      <w:start w:val="1"/>
      <w:numFmt w:val="decimal"/>
      <w:suff w:val="space"/>
      <w:lvlText w:val="%1.%2"/>
      <w:lvlJc w:val="left"/>
      <w:pPr>
        <w:ind w:left="0" w:hanging="0"/>
      </w:pPr>
    </w:lvl>
    <w:lvl w:ilvl="2" w15:tentative="1">
      <w:start w:val="1"/>
      <w:numFmt w:val="decimal"/>
      <w:suff w:val="space"/>
      <w:lvlText w:val="%1.%2.%3"/>
      <w:lvlJc w:val="left"/>
      <w:pPr>
        <w:ind w:left="0" w:hanging="0"/>
      </w:pPr>
    </w:lvl>
  </w:abstractNum>
  <w:abstractNum w:abstractNumId="3"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lineRule="auto"/>
        <w:ind w:left="0" w:right="0" w:firstLine="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ind w:left="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ind w:left="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ind w:left="0"/>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 w:type="paragraph" w:styleId="FigureCaption">
    <w:name w:val="Figur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c0048e2b0ed9c12922e26d2252152f8b66c798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Review</dc:title>
  <dc:creator>Akanga Andrew, Software Engineering Intern, Department of Quality, Health, Safety and Environment</dc:creator>
  <dc:description>Security assessment of the Health and Wellness Management System covering identity, clinical confidentiality, data protection, audit and the remediation required before user testing</dc:description>
  <cp:lastModifiedBy>Un-named</cp:lastModifiedBy>
  <cp:revision>1</cp:revision>
  <dcterms:created xsi:type="dcterms:W3CDTF">2026-08-16T22:17:09.837Z</dcterms:created>
  <dcterms:modified xsi:type="dcterms:W3CDTF">2026-08-16T22:17:09.837Z</dcterms:modified>
</cp:coreProperties>
</file>

<file path=docProps/custom.xml><?xml version="1.0" encoding="utf-8"?>
<Properties xmlns="http://schemas.openxmlformats.org/officeDocument/2006/custom-properties" xmlns:vt="http://schemas.openxmlformats.org/officeDocument/2006/docPropsVTypes"/>
</file>