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800"/>
        <w:jc w:val="center"/>
      </w:pPr>
      <w:r>
        <w:rPr>
          <w:rFonts w:ascii="Arial" w:cs="Arial" w:eastAsia="Arial" w:hAnsi="Arial"/>
          <w:b/>
          <w:bCs/>
          <w:color w:val="2A2622"/>
          <w:sz w:val="56"/>
          <w:szCs w:val="56"/>
          <w:rtl/>
        </w:rPr>
        <w:t xml:space="preserve">مزولة الفسطاط</w:t>
      </w:r>
    </w:p>
    <w:p>
      <w:pPr>
        <w:bidi/>
        <w:spacing w:after="200"/>
        <w:jc w:val="center"/>
      </w:pPr>
      <w:r>
        <w:rPr>
          <w:rFonts w:ascii="Arial" w:cs="Arial" w:eastAsia="Arial" w:hAnsi="Arial"/>
          <w:color w:val="7A4A1C"/>
          <w:sz w:val="28"/>
          <w:szCs w:val="28"/>
          <w:rtl/>
        </w:rPr>
        <w:t xml:space="preserve">طريقة التنفيذ وخطة الفحص وجدول الكميات — التصميم (أ): مزولة الشاخص القطبي</w:t>
      </w:r>
    </w:p>
    <w:p>
      <w:pPr>
        <w:bidi/>
        <w:spacing w:after="1200"/>
        <w:jc w:val="center"/>
      </w:pPr>
      <w:r>
        <w:rPr>
          <w:rFonts w:ascii="Arial" w:cs="Arial" w:eastAsia="Arial" w:hAnsi="Arial"/>
          <w:sz w:val="22"/>
          <w:szCs w:val="22"/>
          <w:rtl/>
        </w:rPr>
        <w:t xml:space="preserve">حدائق تلال الفسطاط — المرحلة الثانية • البند SF-12 • الإصدار 1</w:t>
      </w:r>
    </w:p>
    <w:p>
      <w:pPr>
        <w:pStyle w:val="Heading1"/>
        <w:bidi/>
        <w:spacing w:after="120" w:before="240"/>
        <w:jc w:val="right"/>
      </w:pPr>
      <w:r>
        <w:rPr>
          <w:rFonts w:ascii="Arial" w:cs="Arial" w:eastAsia="Arial" w:hAnsi="Arial"/>
          <w:b/>
          <w:bCs/>
          <w:color w:val="7A4A1C"/>
          <w:sz w:val="32"/>
          <w:szCs w:val="32"/>
          <w:rtl/>
        </w:rPr>
        <w:t xml:space="preserve">1. الغرض والمراجع</w:t>
      </w:r>
    </w:p>
    <w:p>
      <w:pPr>
        <w:bidi/>
        <w:spacing w:after="100" w:line="300"/>
        <w:jc w:val="right"/>
      </w:pPr>
      <w:r>
        <w:rPr>
          <w:rFonts w:ascii="Arial" w:cs="Arial" w:eastAsia="Arial" w:hAnsi="Arial"/>
          <w:sz w:val="22"/>
          <w:szCs w:val="22"/>
          <w:rtl/>
        </w:rPr>
        <w:t xml:space="preserve">يصف هذا المستند كيف ينفذ المقاول المزولة الشمسية في الموقع خطوة بخطوة، ومن المسؤول عن كل خطوة، وما يُفحص قبل الانتقال إلى ما بعدها. يُقرأ مع الرسومات التنفيذية X-00 إلى X-07، وملفات القص DXF وجداول الإحداثيات CSV.</w:t>
      </w:r>
    </w:p>
    <w:p>
      <w:pPr>
        <w:bidi/>
        <w:spacing w:after="100" w:line="300"/>
        <w:jc w:val="right"/>
      </w:pPr>
      <w:r>
        <w:rPr>
          <w:rFonts w:ascii="Arial" w:cs="Arial" w:eastAsia="Arial" w:hAnsi="Arial"/>
          <w:sz w:val="22"/>
          <w:szCs w:val="22"/>
          <w:rtl/>
        </w:rPr>
        <w:t xml:space="preserve">المزولة ساعة دقيقة: خطأ صغير في اتجاه خط الزوال أو ميل الشاخص يظهر خطأً في الوقت يراه كل زائر. لذلك تُنفذ بالإحداثيات المحسوبة لا بالقياس من الرسم، وتمر بنقاط توقف لا تُتجاوز إلا بموافقة المستشار الفلكي.</w:t>
      </w:r>
    </w:p>
    <w:p>
      <w:pPr>
        <w:pStyle w:val="Heading1"/>
        <w:bidi/>
        <w:spacing w:after="120" w:before="240"/>
        <w:jc w:val="right"/>
      </w:pPr>
      <w:r>
        <w:rPr>
          <w:rFonts w:ascii="Arial" w:cs="Arial" w:eastAsia="Arial" w:hAnsi="Arial"/>
          <w:b/>
          <w:bCs/>
          <w:color w:val="7A4A1C"/>
          <w:sz w:val="32"/>
          <w:szCs w:val="32"/>
          <w:rtl/>
        </w:rPr>
        <w:t xml:space="preserve">2. الأطراف والمهارات المطلوبة</w:t>
      </w:r>
    </w:p>
    <w:p>
      <w:pPr>
        <w:pStyle w:val="ListParagraph"/>
        <w:numPr>
          <w:ilvl w:val="0"/>
          <w:numId w:val="2"/>
        </w:numPr>
        <w:bidi/>
        <w:spacing w:after="60" w:line="290"/>
        <w:jc w:val="right"/>
      </w:pPr>
      <w:r>
        <w:rPr>
          <w:rFonts w:ascii="Arial" w:cs="Arial" w:eastAsia="Arial" w:hAnsi="Arial"/>
          <w:sz w:val="22"/>
          <w:szCs w:val="22"/>
          <w:rtl/>
        </w:rPr>
        <w:t xml:space="preserve">المقاول العام: الأعمال الترابية والخرسانية وتنسيق الأطراف والسلامة.</w:t>
      </w:r>
    </w:p>
    <w:p>
      <w:pPr>
        <w:pStyle w:val="ListParagraph"/>
        <w:numPr>
          <w:ilvl w:val="0"/>
          <w:numId w:val="2"/>
        </w:numPr>
        <w:bidi/>
        <w:spacing w:after="60" w:line="290"/>
        <w:jc w:val="right"/>
      </w:pPr>
      <w:r>
        <w:rPr>
          <w:rFonts w:ascii="Arial" w:cs="Arial" w:eastAsia="Arial" w:hAnsi="Arial"/>
          <w:sz w:val="22"/>
          <w:szCs w:val="22"/>
          <w:rtl/>
        </w:rPr>
        <w:t xml:space="preserve">مقاول الرخام: مصنع بماكينة CNC للقص والحفر، وخبرة في التطعيم بالنحاس والراتنج.</w:t>
      </w:r>
    </w:p>
    <w:p>
      <w:pPr>
        <w:pStyle w:val="ListParagraph"/>
        <w:numPr>
          <w:ilvl w:val="0"/>
          <w:numId w:val="2"/>
        </w:numPr>
        <w:bidi/>
        <w:spacing w:after="60" w:line="290"/>
        <w:jc w:val="right"/>
      </w:pPr>
      <w:r>
        <w:rPr>
          <w:rFonts w:ascii="Arial" w:cs="Arial" w:eastAsia="Arial" w:hAnsi="Arial"/>
          <w:sz w:val="22"/>
          <w:szCs w:val="22"/>
          <w:rtl/>
        </w:rPr>
        <w:t xml:space="preserve">مصنع الحديد: قطع بالماء (Waterjet) لألواح 316L سمك 30 مم، ولحام ستانلس معتمد.</w:t>
      </w:r>
    </w:p>
    <w:p>
      <w:pPr>
        <w:pStyle w:val="ListParagraph"/>
        <w:numPr>
          <w:ilvl w:val="0"/>
          <w:numId w:val="2"/>
        </w:numPr>
        <w:bidi/>
        <w:spacing w:after="60" w:line="290"/>
        <w:jc w:val="right"/>
      </w:pPr>
      <w:r>
        <w:rPr>
          <w:rFonts w:ascii="Arial" w:cs="Arial" w:eastAsia="Arial" w:hAnsi="Arial"/>
          <w:sz w:val="22"/>
          <w:szCs w:val="22"/>
          <w:rtl/>
        </w:rPr>
        <w:t xml:space="preserve">المساح: جهاز GNSS-RTK ومحطة شاملة بدقة زاوية 1″ على الأقل.</w:t>
      </w:r>
    </w:p>
    <w:p>
      <w:pPr>
        <w:pStyle w:val="ListParagraph"/>
        <w:numPr>
          <w:ilvl w:val="0"/>
          <w:numId w:val="2"/>
        </w:numPr>
        <w:bidi/>
        <w:spacing w:after="60" w:line="290"/>
        <w:jc w:val="right"/>
      </w:pPr>
      <w:r>
        <w:rPr>
          <w:rFonts w:ascii="Arial" w:cs="Arial" w:eastAsia="Arial" w:hAnsi="Arial"/>
          <w:sz w:val="22"/>
          <w:szCs w:val="22"/>
          <w:rtl/>
        </w:rPr>
        <w:t xml:space="preserve">المستشار الفلكي: اعتماد رسومات الورشة، وحضور نقاط التوقف، والمعايرة النهائية.</w:t>
      </w:r>
    </w:p>
    <w:p>
      <w:pPr>
        <w:pStyle w:val="Heading1"/>
        <w:bidi/>
        <w:spacing w:after="120" w:before="240"/>
        <w:jc w:val="right"/>
      </w:pPr>
      <w:r>
        <w:rPr>
          <w:rFonts w:ascii="Arial" w:cs="Arial" w:eastAsia="Arial" w:hAnsi="Arial"/>
          <w:b/>
          <w:bCs/>
          <w:color w:val="7A4A1C"/>
          <w:sz w:val="32"/>
          <w:szCs w:val="32"/>
          <w:rtl/>
        </w:rPr>
        <w:t xml:space="preserve">3. قبل البدء: الاعتمادات</w:t>
      </w:r>
    </w:p>
    <w:p>
      <w:pPr>
        <w:pStyle w:val="ListParagraph"/>
        <w:numPr>
          <w:ilvl w:val="0"/>
          <w:numId w:val="3"/>
        </w:numPr>
        <w:bidi/>
        <w:spacing w:after="80" w:line="290"/>
        <w:jc w:val="right"/>
      </w:pPr>
      <w:r>
        <w:rPr>
          <w:rFonts w:ascii="Arial" w:cs="Arial" w:eastAsia="Arial" w:hAnsi="Arial"/>
          <w:sz w:val="22"/>
          <w:szCs w:val="22"/>
          <w:rtl/>
        </w:rPr>
        <w:t xml:space="preserve">رسومات ورشة للشاخص ولوح القاعدة من المصنع مبنية على ملف A_gnomon_cut.dxf.</w:t>
      </w:r>
    </w:p>
    <w:p>
      <w:pPr>
        <w:pStyle w:val="ListParagraph"/>
        <w:numPr>
          <w:ilvl w:val="0"/>
          <w:numId w:val="3"/>
        </w:numPr>
        <w:bidi/>
        <w:spacing w:after="80" w:line="290"/>
        <w:jc w:val="right"/>
      </w:pPr>
      <w:r>
        <w:rPr>
          <w:rFonts w:ascii="Arial" w:cs="Arial" w:eastAsia="Arial" w:hAnsi="Arial"/>
          <w:sz w:val="22"/>
          <w:szCs w:val="22"/>
          <w:rtl/>
        </w:rPr>
        <w:t xml:space="preserve">عينات: رخام الوجه، وجرانيت الحلقة والحافة، وشريط النحاس، وألوان الراتنج الستة.</w:t>
      </w:r>
    </w:p>
    <w:p>
      <w:pPr>
        <w:pStyle w:val="ListParagraph"/>
        <w:numPr>
          <w:ilvl w:val="0"/>
          <w:numId w:val="3"/>
        </w:numPr>
        <w:bidi/>
        <w:spacing w:after="80" w:line="290"/>
        <w:jc w:val="right"/>
      </w:pPr>
      <w:r>
        <w:rPr>
          <w:rFonts w:ascii="Arial" w:cs="Arial" w:eastAsia="Arial" w:hAnsi="Arial"/>
          <w:sz w:val="22"/>
          <w:szCs w:val="22"/>
          <w:rtl/>
        </w:rPr>
        <w:t xml:space="preserve">بلاطة تجريبية واحدة (مثل H08) مقصوصة ومحفورة ومطعمة من ملفها لاعتماد جودة الحفر والتطعيم.</w:t>
      </w:r>
    </w:p>
    <w:p>
      <w:pPr>
        <w:pStyle w:val="ListParagraph"/>
        <w:numPr>
          <w:ilvl w:val="0"/>
          <w:numId w:val="3"/>
        </w:numPr>
        <w:bidi/>
        <w:spacing w:after="80" w:line="290"/>
        <w:jc w:val="right"/>
      </w:pPr>
      <w:r>
        <w:rPr>
          <w:rFonts w:ascii="Arial" w:cs="Arial" w:eastAsia="Arial" w:hAnsi="Arial"/>
          <w:sz w:val="22"/>
          <w:szCs w:val="22"/>
          <w:rtl/>
        </w:rPr>
        <w:t xml:space="preserve">نتيجة اختبار النموذج المصغر 1:15 (اللوحات M-01 إلى M-04) موقعة من المستشار.</w:t>
      </w:r>
    </w:p>
    <w:p>
      <w:pPr>
        <w:pStyle w:val="ListParagraph"/>
        <w:numPr>
          <w:ilvl w:val="0"/>
          <w:numId w:val="3"/>
        </w:numPr>
        <w:bidi/>
        <w:spacing w:after="80" w:line="290"/>
        <w:jc w:val="right"/>
      </w:pPr>
      <w:r>
        <w:rPr>
          <w:rFonts w:ascii="Arial" w:cs="Arial" w:eastAsia="Arial" w:hAnsi="Arial"/>
          <w:sz w:val="22"/>
          <w:szCs w:val="22"/>
          <w:rtl/>
        </w:rPr>
        <w:t xml:space="preserve">برنامج زمني يوضح أن التحقق الشمسي يقع في أيام مشمسة وفي وقت الظهر الحقيقي.</w:t>
      </w:r>
    </w:p>
    <w:p>
      <w:pPr>
        <w:pStyle w:val="Heading1"/>
        <w:bidi/>
        <w:spacing w:after="120" w:before="240"/>
        <w:jc w:val="right"/>
      </w:pPr>
      <w:r>
        <w:rPr>
          <w:rFonts w:ascii="Arial" w:cs="Arial" w:eastAsia="Arial" w:hAnsi="Arial"/>
          <w:b/>
          <w:bCs/>
          <w:color w:val="7A4A1C"/>
          <w:sz w:val="32"/>
          <w:szCs w:val="32"/>
          <w:rtl/>
        </w:rPr>
        <w:t xml:space="preserve">4. خطوات التنفيذ في الموقع</w:t>
      </w:r>
    </w:p>
    <w:p>
      <w:pPr>
        <w:pStyle w:val="Heading2"/>
        <w:bidi/>
        <w:spacing w:after="120" w:before="240"/>
        <w:jc w:val="right"/>
      </w:pPr>
      <w:r>
        <w:rPr>
          <w:rFonts w:ascii="Arial" w:cs="Arial" w:eastAsia="Arial" w:hAnsi="Arial"/>
          <w:b/>
          <w:bCs/>
          <w:color w:val="2A2622"/>
          <w:sz w:val="26"/>
          <w:szCs w:val="26"/>
          <w:rtl/>
        </w:rPr>
        <w:t xml:space="preserve">4.1 التوقيع المساحي</w:t>
      </w:r>
    </w:p>
    <w:p>
      <w:pPr>
        <w:pStyle w:val="ListParagraph"/>
        <w:numPr>
          <w:ilvl w:val="0"/>
          <w:numId w:val="2"/>
        </w:numPr>
        <w:bidi/>
        <w:spacing w:after="60" w:line="290"/>
        <w:jc w:val="right"/>
      </w:pPr>
      <w:r>
        <w:rPr>
          <w:rFonts w:ascii="Arial" w:cs="Arial" w:eastAsia="Arial" w:hAnsi="Arial"/>
          <w:sz w:val="22"/>
          <w:szCs w:val="22"/>
          <w:rtl/>
        </w:rPr>
        <w:t xml:space="preserve">ثبّت P0 (مركز الدائرة) وP7 وP8 (طرفا خط الزوال) بجهاز GNSS-RTK من إحداثيات الجدول أدناه، بمسامير نحاسية في كتل خرسانية صغيرة خارج منطقة الحفر مع نقاط مرجعية بديلة.</w:t>
      </w:r>
    </w:p>
    <w:p>
      <w:pPr>
        <w:pStyle w:val="ListParagraph"/>
        <w:numPr>
          <w:ilvl w:val="0"/>
          <w:numId w:val="2"/>
        </w:numPr>
        <w:bidi/>
        <w:spacing w:after="60" w:line="290"/>
        <w:jc w:val="right"/>
      </w:pPr>
      <w:r>
        <w:rPr>
          <w:rFonts w:ascii="Arial" w:cs="Arial" w:eastAsia="Arial" w:hAnsi="Arial"/>
          <w:sz w:val="22"/>
          <w:szCs w:val="22"/>
          <w:rtl/>
        </w:rPr>
        <w:t xml:space="preserve">خط الزوال يتجه إلى الشمال الحقيقي لا الشبكي ولا المغناطيسي؛ الفرق عن الشمال الشبكي 0.1214° ويُراعى في الحساب.</w:t>
      </w:r>
    </w:p>
    <w:p>
      <w:pPr>
        <w:pStyle w:val="ListParagraph"/>
        <w:numPr>
          <w:ilvl w:val="0"/>
          <w:numId w:val="2"/>
        </w:numPr>
        <w:bidi/>
        <w:spacing w:after="60" w:line="290"/>
        <w:jc w:val="right"/>
      </w:pPr>
      <w:r>
        <w:rPr>
          <w:rFonts w:ascii="Arial" w:cs="Arial" w:eastAsia="Arial" w:hAnsi="Arial"/>
          <w:sz w:val="22"/>
          <w:szCs w:val="22"/>
          <w:rtl/>
        </w:rPr>
        <w:t xml:space="preserve">تحقق شمسي (نقطة التوقف H1): يُثبت شاخص رأسي مؤقت (خيط شاقول) على P0، ويُعلّم ظله في وقت الظهر الحقيقي لليوم من الجدول؛ يجب أن يقع على خط P0–P7 بفرق لا يتجاوز 2 مم على 5 م.</w:t>
      </w:r>
    </w:p>
    <w:p>
      <w:pPr>
        <w:pStyle w:val="Heading2"/>
        <w:bidi/>
        <w:spacing w:after="120" w:before="240"/>
        <w:jc w:val="right"/>
      </w:pPr>
      <w:r>
        <w:rPr>
          <w:rFonts w:ascii="Arial" w:cs="Arial" w:eastAsia="Arial" w:hAnsi="Arial"/>
          <w:b/>
          <w:bCs/>
          <w:color w:val="2A2622"/>
          <w:sz w:val="26"/>
          <w:szCs w:val="26"/>
          <w:rtl/>
        </w:rPr>
        <w:t xml:space="preserve">4.2 الحفر والأساسات</w:t>
      </w:r>
    </w:p>
    <w:p>
      <w:pPr>
        <w:pStyle w:val="ListParagraph"/>
        <w:numPr>
          <w:ilvl w:val="0"/>
          <w:numId w:val="2"/>
        </w:numPr>
        <w:bidi/>
        <w:spacing w:after="60" w:line="290"/>
        <w:jc w:val="right"/>
      </w:pPr>
      <w:r>
        <w:rPr>
          <w:rFonts w:ascii="Arial" w:cs="Arial" w:eastAsia="Arial" w:hAnsi="Arial"/>
          <w:sz w:val="22"/>
          <w:szCs w:val="22"/>
          <w:rtl/>
        </w:rPr>
        <w:t xml:space="preserve">حفر حتى −0.50 تحت الدائرة، وإحلال ودمك 95%، وأساس حصوي 250 مم.</w:t>
      </w:r>
    </w:p>
    <w:p>
      <w:pPr>
        <w:pStyle w:val="ListParagraph"/>
        <w:numPr>
          <w:ilvl w:val="0"/>
          <w:numId w:val="2"/>
        </w:numPr>
        <w:bidi/>
        <w:spacing w:after="60" w:line="290"/>
        <w:jc w:val="right"/>
      </w:pPr>
      <w:r>
        <w:rPr>
          <w:rFonts w:ascii="Arial" w:cs="Arial" w:eastAsia="Arial" w:hAnsi="Arial"/>
          <w:sz w:val="22"/>
          <w:szCs w:val="22"/>
          <w:rtl/>
        </w:rPr>
        <w:t xml:space="preserve">صب أساس الشاخص (5.0 × 1.0 × 0.6 م) أولًا. تُثبت المسامير الاثنا عشر M24 بقالب خشبي أو معدني يُقص من ملف DXF بحيث يقع محورها على خط الزوال تمامًا (±3 مم). (H2)</w:t>
      </w:r>
    </w:p>
    <w:p>
      <w:pPr>
        <w:pStyle w:val="ListParagraph"/>
        <w:numPr>
          <w:ilvl w:val="0"/>
          <w:numId w:val="2"/>
        </w:numPr>
        <w:bidi/>
        <w:spacing w:after="60" w:line="290"/>
        <w:jc w:val="right"/>
      </w:pPr>
      <w:r>
        <w:rPr>
          <w:rFonts w:ascii="Arial" w:cs="Arial" w:eastAsia="Arial" w:hAnsi="Arial"/>
          <w:sz w:val="22"/>
          <w:szCs w:val="22"/>
          <w:rtl/>
        </w:rPr>
        <w:t xml:space="preserve">صب البلاطة 150 مم وتسوية سطحها ±3 مم عند −0.07، مع ترك جيب لوح القاعدة. معالجة رطبة 7 أيام.</w:t>
      </w:r>
    </w:p>
    <w:p>
      <w:pPr>
        <w:pStyle w:val="Heading2"/>
        <w:bidi/>
        <w:spacing w:after="120" w:before="240"/>
        <w:jc w:val="right"/>
      </w:pPr>
      <w:r>
        <w:rPr>
          <w:rFonts w:ascii="Arial" w:cs="Arial" w:eastAsia="Arial" w:hAnsi="Arial"/>
          <w:b/>
          <w:bCs/>
          <w:color w:val="2A2622"/>
          <w:sz w:val="26"/>
          <w:szCs w:val="26"/>
          <w:rtl/>
        </w:rPr>
        <w:t xml:space="preserve">4.3 التصنيع في المصنع (بالتوازي)</w:t>
      </w:r>
    </w:p>
    <w:p>
      <w:pPr>
        <w:pStyle w:val="ListParagraph"/>
        <w:numPr>
          <w:ilvl w:val="0"/>
          <w:numId w:val="2"/>
        </w:numPr>
        <w:bidi/>
        <w:spacing w:after="60" w:line="290"/>
        <w:jc w:val="right"/>
      </w:pPr>
      <w:r>
        <w:rPr>
          <w:rFonts w:ascii="Arial" w:cs="Arial" w:eastAsia="Arial" w:hAnsi="Arial"/>
          <w:sz w:val="22"/>
          <w:szCs w:val="22"/>
          <w:rtl/>
        </w:rPr>
        <w:t xml:space="preserve">الشاخص: قطع لوح 316L سمك 30 مم بالماء، ثم فحص الأبعاد مقابل جدول الإحداثيات في X-05، وزاوية الضلع 30.0054° ±0.05°، واستقامته ±0.5 مم/م. (H3)</w:t>
      </w:r>
    </w:p>
    <w:p>
      <w:pPr>
        <w:pStyle w:val="ListParagraph"/>
        <w:numPr>
          <w:ilvl w:val="0"/>
          <w:numId w:val="2"/>
        </w:numPr>
        <w:bidi/>
        <w:spacing w:after="60" w:line="290"/>
        <w:jc w:val="right"/>
      </w:pPr>
      <w:r>
        <w:rPr>
          <w:rFonts w:ascii="Arial" w:cs="Arial" w:eastAsia="Arial" w:hAnsi="Arial"/>
          <w:sz w:val="22"/>
          <w:szCs w:val="22"/>
          <w:rtl/>
        </w:rPr>
        <w:t xml:space="preserve">تُلحم الشمسة على رأس النصل، ويُجهز ثقب الكرة بحيث يكون مركزها نقطة العقدة N. يُطلى الشاخص بطلاء سيراميكي برونزي، وتُحمى الحافة القطبية.</w:t>
      </w:r>
    </w:p>
    <w:p>
      <w:pPr>
        <w:pStyle w:val="ListParagraph"/>
        <w:numPr>
          <w:ilvl w:val="0"/>
          <w:numId w:val="2"/>
        </w:numPr>
        <w:bidi/>
        <w:spacing w:after="60" w:line="290"/>
        <w:jc w:val="right"/>
      </w:pPr>
      <w:r>
        <w:rPr>
          <w:rFonts w:ascii="Arial" w:cs="Arial" w:eastAsia="Arial" w:hAnsi="Arial"/>
          <w:sz w:val="22"/>
          <w:szCs w:val="22"/>
          <w:rtl/>
        </w:rPr>
        <w:t xml:space="preserve">البلاط: كل بلاطة تُقص وتُحفر من ملفها في مجلد dxf/tiles، والأصل ركنها الجنوبي الغربي. يُكتب رقمها على ظهرها بقلم دائم.</w:t>
      </w:r>
    </w:p>
    <w:p>
      <w:pPr>
        <w:pStyle w:val="ListParagraph"/>
        <w:numPr>
          <w:ilvl w:val="0"/>
          <w:numId w:val="2"/>
        </w:numPr>
        <w:bidi/>
        <w:spacing w:after="60" w:line="290"/>
        <w:jc w:val="right"/>
      </w:pPr>
      <w:r>
        <w:rPr>
          <w:rFonts w:ascii="Arial" w:cs="Arial" w:eastAsia="Arial" w:hAnsi="Arial"/>
          <w:sz w:val="22"/>
          <w:szCs w:val="22"/>
          <w:rtl/>
        </w:rPr>
        <w:t xml:space="preserve">رص جاف لربع الوجه في المصنع للتحقق من استمرار الخطوط عبر الفواصل ±0.5 مم. (H4)</w:t>
      </w:r>
    </w:p>
    <w:p>
      <w:pPr>
        <w:pStyle w:val="Heading2"/>
        <w:bidi/>
        <w:spacing w:after="120" w:before="240"/>
        <w:jc w:val="right"/>
      </w:pPr>
      <w:r>
        <w:rPr>
          <w:rFonts w:ascii="Arial" w:cs="Arial" w:eastAsia="Arial" w:hAnsi="Arial"/>
          <w:b/>
          <w:bCs/>
          <w:color w:val="2A2622"/>
          <w:sz w:val="26"/>
          <w:szCs w:val="26"/>
          <w:rtl/>
        </w:rPr>
        <w:t xml:space="preserve">4.4 تركيب الشاخص</w:t>
      </w:r>
    </w:p>
    <w:p>
      <w:pPr>
        <w:pStyle w:val="ListParagraph"/>
        <w:numPr>
          <w:ilvl w:val="0"/>
          <w:numId w:val="2"/>
        </w:numPr>
        <w:bidi/>
        <w:spacing w:after="60" w:line="290"/>
        <w:jc w:val="right"/>
      </w:pPr>
      <w:r>
        <w:rPr>
          <w:rFonts w:ascii="Arial" w:cs="Arial" w:eastAsia="Arial" w:hAnsi="Arial"/>
          <w:sz w:val="22"/>
          <w:szCs w:val="22"/>
          <w:rtl/>
        </w:rPr>
        <w:t xml:space="preserve">يُرفع الشاخص (≈ 1.1 طن) برافعة متحركة بحمالات نسيجية، ويوضع على صواميل الضبط فوق المسامير.</w:t>
      </w:r>
    </w:p>
    <w:p>
      <w:pPr>
        <w:pStyle w:val="ListParagraph"/>
        <w:numPr>
          <w:ilvl w:val="0"/>
          <w:numId w:val="2"/>
        </w:numPr>
        <w:bidi/>
        <w:spacing w:after="60" w:line="290"/>
        <w:jc w:val="right"/>
      </w:pPr>
      <w:r>
        <w:rPr>
          <w:rFonts w:ascii="Arial" w:cs="Arial" w:eastAsia="Arial" w:hAnsi="Arial"/>
          <w:sz w:val="22"/>
          <w:szCs w:val="22"/>
          <w:rtl/>
        </w:rPr>
        <w:t xml:space="preserve">يُضبط محور النصل على خط الزوال بالمحطة الشاملة، وزاوية الضلع بميزان رقمي، وموضع مركز الكرة (y = +0.550، z = 2.400) ±3 مم أفقيًا و±2 مم رأسيًا.</w:t>
      </w:r>
    </w:p>
    <w:p>
      <w:pPr>
        <w:pStyle w:val="ListParagraph"/>
        <w:numPr>
          <w:ilvl w:val="0"/>
          <w:numId w:val="2"/>
        </w:numPr>
        <w:bidi/>
        <w:spacing w:after="60" w:line="290"/>
        <w:jc w:val="right"/>
      </w:pPr>
      <w:r>
        <w:rPr>
          <w:rFonts w:ascii="Arial" w:cs="Arial" w:eastAsia="Arial" w:hAnsi="Arial"/>
          <w:sz w:val="22"/>
          <w:szCs w:val="22"/>
          <w:rtl/>
        </w:rPr>
        <w:t xml:space="preserve">تحقق شمسي قبل الحقن (H5): في وقت الظهر الحقيقي من الجدول يجب أن يقع ظل الحافة القطبية على خط الزوال، وظل الكرة على موضعه المحسوب. ثم تُحقن المونة غير المنكمشة.</w:t>
      </w:r>
    </w:p>
    <w:p>
      <w:pPr>
        <w:pStyle w:val="Heading2"/>
        <w:bidi/>
        <w:spacing w:after="120" w:before="240"/>
        <w:jc w:val="right"/>
      </w:pPr>
      <w:r>
        <w:rPr>
          <w:rFonts w:ascii="Arial" w:cs="Arial" w:eastAsia="Arial" w:hAnsi="Arial"/>
          <w:b/>
          <w:bCs/>
          <w:color w:val="2A2622"/>
          <w:sz w:val="26"/>
          <w:szCs w:val="26"/>
          <w:rtl/>
        </w:rPr>
        <w:t xml:space="preserve">4.5 تركيب البلاط والحلقة</w:t>
      </w:r>
    </w:p>
    <w:p>
      <w:pPr>
        <w:pStyle w:val="ListParagraph"/>
        <w:numPr>
          <w:ilvl w:val="0"/>
          <w:numId w:val="2"/>
        </w:numPr>
        <w:bidi/>
        <w:spacing w:after="60" w:line="290"/>
        <w:jc w:val="right"/>
      </w:pPr>
      <w:r>
        <w:rPr>
          <w:rFonts w:ascii="Arial" w:cs="Arial" w:eastAsia="Arial" w:hAnsi="Arial"/>
          <w:sz w:val="22"/>
          <w:szCs w:val="22"/>
          <w:rtl/>
        </w:rPr>
        <w:t xml:space="preserve">يبدأ التركيب من البلاط الملاصق لخطي الزوال والاعتدال (فواصل رئيسية)، ثم يتجه إلى المحيط، كل بلاطة في موضعها برقمها وبالمحطة الشاملة.</w:t>
      </w:r>
    </w:p>
    <w:p>
      <w:pPr>
        <w:pStyle w:val="ListParagraph"/>
        <w:numPr>
          <w:ilvl w:val="0"/>
          <w:numId w:val="2"/>
        </w:numPr>
        <w:bidi/>
        <w:spacing w:after="60" w:line="290"/>
        <w:jc w:val="right"/>
      </w:pPr>
      <w:r>
        <w:rPr>
          <w:rFonts w:ascii="Arial" w:cs="Arial" w:eastAsia="Arial" w:hAnsi="Arial"/>
          <w:sz w:val="22"/>
          <w:szCs w:val="22"/>
          <w:rtl/>
        </w:rPr>
        <w:t xml:space="preserve">مونة لصق 30 مم بتغطية كاملة، وفواصل 2 مم إيبوكسي بلون الحجر، وفاصل بولي يوريثان 5 مم حول النصل.</w:t>
      </w:r>
    </w:p>
    <w:p>
      <w:pPr>
        <w:pStyle w:val="ListParagraph"/>
        <w:numPr>
          <w:ilvl w:val="0"/>
          <w:numId w:val="2"/>
        </w:numPr>
        <w:bidi/>
        <w:spacing w:after="60" w:line="290"/>
        <w:jc w:val="right"/>
      </w:pPr>
      <w:r>
        <w:rPr>
          <w:rFonts w:ascii="Arial" w:cs="Arial" w:eastAsia="Arial" w:hAnsi="Arial"/>
          <w:sz w:val="22"/>
          <w:szCs w:val="22"/>
          <w:rtl/>
        </w:rPr>
        <w:t xml:space="preserve">استواء الوجه ±1 مم على 3 م والكلي ±3 مم، ويُفحص بشبكة نقاط كل متر بالميزان الرقمي. (H6)</w:t>
      </w:r>
    </w:p>
    <w:p>
      <w:pPr>
        <w:pStyle w:val="ListParagraph"/>
        <w:numPr>
          <w:ilvl w:val="0"/>
          <w:numId w:val="2"/>
        </w:numPr>
        <w:bidi/>
        <w:spacing w:after="60" w:line="290"/>
        <w:jc w:val="right"/>
      </w:pPr>
      <w:r>
        <w:rPr>
          <w:rFonts w:ascii="Arial" w:cs="Arial" w:eastAsia="Arial" w:hAnsi="Arial"/>
          <w:sz w:val="22"/>
          <w:szCs w:val="22"/>
          <w:rtl/>
        </w:rPr>
        <w:t xml:space="preserve">ثم قطاعات الحلقة R01–R36، والحافة الحمراء، والمجرى المحيطي.</w:t>
      </w:r>
    </w:p>
    <w:p>
      <w:pPr>
        <w:pStyle w:val="Heading2"/>
        <w:bidi/>
        <w:spacing w:after="120" w:before="240"/>
        <w:jc w:val="right"/>
      </w:pPr>
      <w:r>
        <w:rPr>
          <w:rFonts w:ascii="Arial" w:cs="Arial" w:eastAsia="Arial" w:hAnsi="Arial"/>
          <w:b/>
          <w:bCs/>
          <w:color w:val="2A2622"/>
          <w:sz w:val="26"/>
          <w:szCs w:val="26"/>
          <w:rtl/>
        </w:rPr>
        <w:t xml:space="preserve">4.6 الأعمال النهائية</w:t>
      </w:r>
    </w:p>
    <w:p>
      <w:pPr>
        <w:pStyle w:val="ListParagraph"/>
        <w:numPr>
          <w:ilvl w:val="0"/>
          <w:numId w:val="2"/>
        </w:numPr>
        <w:bidi/>
        <w:spacing w:after="60" w:line="290"/>
        <w:jc w:val="right"/>
      </w:pPr>
      <w:r>
        <w:rPr>
          <w:rFonts w:ascii="Arial" w:cs="Arial" w:eastAsia="Arial" w:hAnsi="Arial"/>
          <w:sz w:val="22"/>
          <w:szCs w:val="22"/>
          <w:rtl/>
        </w:rPr>
        <w:t xml:space="preserve">تطعيم أقراص الأرقام والنجوم والنصوص بقوالب تُطبع من الرسم X-03، ثم شريط النحاس لخط الزوال بعرض 30 مم فوق الفاصل.</w:t>
      </w:r>
    </w:p>
    <w:p>
      <w:pPr>
        <w:pStyle w:val="ListParagraph"/>
        <w:numPr>
          <w:ilvl w:val="0"/>
          <w:numId w:val="2"/>
        </w:numPr>
        <w:bidi/>
        <w:spacing w:after="60" w:line="290"/>
        <w:jc w:val="right"/>
      </w:pPr>
      <w:r>
        <w:rPr>
          <w:rFonts w:ascii="Arial" w:cs="Arial" w:eastAsia="Arial" w:hAnsi="Arial"/>
          <w:sz w:val="22"/>
          <w:szCs w:val="22"/>
          <w:rtl/>
        </w:rPr>
        <w:t xml:space="preserve">صقل نهائي للسطح، وحماية بغطاء خشبي حتى التسليم، وتركيب الكرة وأنبوب الرصد.</w:t>
      </w:r>
    </w:p>
    <w:p>
      <w:pPr>
        <w:pStyle w:val="Heading2"/>
        <w:bidi/>
        <w:spacing w:after="120" w:before="240"/>
        <w:jc w:val="right"/>
      </w:pPr>
      <w:r>
        <w:rPr>
          <w:rFonts w:ascii="Arial" w:cs="Arial" w:eastAsia="Arial" w:hAnsi="Arial"/>
          <w:b/>
          <w:bCs/>
          <w:color w:val="2A2622"/>
          <w:sz w:val="26"/>
          <w:szCs w:val="26"/>
          <w:rtl/>
        </w:rPr>
        <w:t xml:space="preserve">4.7 المعايرة والاستلام (H7)</w:t>
      </w:r>
    </w:p>
    <w:p>
      <w:pPr>
        <w:pStyle w:val="ListParagraph"/>
        <w:numPr>
          <w:ilvl w:val="0"/>
          <w:numId w:val="2"/>
        </w:numPr>
        <w:bidi/>
        <w:spacing w:after="60" w:line="290"/>
        <w:jc w:val="right"/>
      </w:pPr>
      <w:r>
        <w:rPr>
          <w:rFonts w:ascii="Arial" w:cs="Arial" w:eastAsia="Arial" w:hAnsi="Arial"/>
          <w:sz w:val="22"/>
          <w:szCs w:val="22"/>
          <w:rtl/>
        </w:rPr>
        <w:t xml:space="preserve">في يوم مشمس تُسجل 5 قراءات على الأقل بين 9 صباحًا و3 عصرًا، وتُقارن بالساعة الرسمية بعد إضافة تصحيح معادلة الزمن.</w:t>
      </w:r>
    </w:p>
    <w:p>
      <w:pPr>
        <w:pStyle w:val="ListParagraph"/>
        <w:numPr>
          <w:ilvl w:val="0"/>
          <w:numId w:val="2"/>
        </w:numPr>
        <w:bidi/>
        <w:spacing w:after="60" w:line="290"/>
        <w:jc w:val="right"/>
      </w:pPr>
      <w:r>
        <w:rPr>
          <w:rFonts w:ascii="Arial" w:cs="Arial" w:eastAsia="Arial" w:hAnsi="Arial"/>
          <w:sz w:val="22"/>
          <w:szCs w:val="22"/>
          <w:rtl/>
        </w:rPr>
        <w:t xml:space="preserve">يُقبل العمل إذا لم يتجاوز الفرق دقيقة واحدة في كل القراءات، ويُحرر محضر استلام يوقعه المقاول والمستشار والمالك.</w:t>
      </w:r>
    </w:p>
    <w:p>
      <w:pPr>
        <w:pStyle w:val="Heading1"/>
        <w:bidi/>
        <w:spacing w:after="120" w:before="240"/>
        <w:jc w:val="right"/>
      </w:pPr>
      <w:r>
        <w:rPr>
          <w:rFonts w:ascii="Arial" w:cs="Arial" w:eastAsia="Arial" w:hAnsi="Arial"/>
          <w:b/>
          <w:bCs/>
          <w:color w:val="7A4A1C"/>
          <w:sz w:val="32"/>
          <w:szCs w:val="32"/>
          <w:rtl/>
        </w:rPr>
        <w:t xml:space="preserve">5. خطة الفحص ونقاط التوقف</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300"/>
        <w:gridCol w:w="2000"/>
      </w:tblGrid>
      <w:tr>
        <w:trPr>
          <w:tblHeader/>
        </w:trPr>
        <w:tc>
          <w:tcPr>
            <w:tcW w:type="dxa" w:w="9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النقطة</w:t>
            </w:r>
          </w:p>
        </w:tc>
        <w:tc>
          <w:tcPr>
            <w:tcW w:type="dxa" w:w="29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البند</w:t>
            </w:r>
          </w:p>
        </w:tc>
        <w:tc>
          <w:tcPr>
            <w:tcW w:type="dxa" w:w="33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المعيار</w:t>
            </w:r>
          </w:p>
        </w:tc>
        <w:tc>
          <w:tcPr>
            <w:tcW w:type="dxa" w:w="20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المسؤول</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H1</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توقيع P0 وخط الزوال</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GNSS-RTK + رصد شمسي ±2 مم/5 م</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المساح + المستشار</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H2</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تسليح الأساس والمسامير</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قالب من DXF ±3 مم</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الإنشائي</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H3</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استلام الشاخص في المصنع</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الأبعاد والزاوية والاستقامة</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المستشار</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H4</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رص جاف لربع البلاط</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استمرار الخطوط ±0.5 مم</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المستشار</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H5</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ضبط الشاخص قبل الحقن</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ظل الضلع على الزوال عند الظهر</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المستشار</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H6</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استواء البلاط</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مم/3 م، كلي ±3 مم</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المقاول + المستشار</w:t>
            </w:r>
          </w:p>
        </w:tc>
      </w:tr>
      <w:tr>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H7</w:t>
            </w:r>
          </w:p>
        </w:tc>
        <w:tc>
          <w:tcPr>
            <w:tcW w:type="dxa" w:w="2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المعايرة والاستلام</w:t>
            </w:r>
          </w:p>
        </w:tc>
        <w:tc>
          <w:tcPr>
            <w:tcW w:type="dxa" w:w="3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 قراءات، فرق ≤ 1 دقيقة</w:t>
            </w:r>
          </w:p>
        </w:tc>
        <w:tc>
          <w:tcPr>
            <w:tcW w:type="dxa" w:w="2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المستشار + المالك</w:t>
            </w:r>
          </w:p>
        </w:tc>
      </w:tr>
    </w:tbl>
    <w:p>
      <w:pPr>
        <w:pStyle w:val="Heading1"/>
        <w:bidi/>
        <w:spacing w:after="120" w:before="240"/>
        <w:jc w:val="right"/>
      </w:pPr>
      <w:r>
        <w:rPr>
          <w:rFonts w:ascii="Arial" w:cs="Arial" w:eastAsia="Arial" w:hAnsi="Arial"/>
          <w:b/>
          <w:bCs/>
          <w:color w:val="7A4A1C"/>
          <w:sz w:val="32"/>
          <w:szCs w:val="32"/>
          <w:rtl/>
        </w:rPr>
        <w:t xml:space="preserve">6. حدود التفاوت</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البند</w:t>
            </w:r>
          </w:p>
        </w:tc>
        <w:tc>
          <w:tcPr>
            <w:tcW w:type="dxa" w:w="46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الحد</w:t>
            </w:r>
          </w:p>
        </w:tc>
      </w:tr>
      <w:tr>
        <w:tc>
          <w:tcPr>
            <w:tcW w:type="dxa" w:w="4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استواء الوجه</w:t>
            </w:r>
          </w:p>
        </w:tc>
        <w:tc>
          <w:tcPr>
            <w:tcW w:type="dxa" w:w="4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مم/3 م، كلي ±3 مم</w:t>
            </w:r>
          </w:p>
        </w:tc>
      </w:tr>
      <w:tr>
        <w:tc>
          <w:tcPr>
            <w:tcW w:type="dxa" w:w="4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اتجاه خط الزوال</w:t>
            </w:r>
          </w:p>
        </w:tc>
        <w:tc>
          <w:tcPr>
            <w:tcW w:type="dxa" w:w="4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±0.02°</w:t>
            </w:r>
          </w:p>
        </w:tc>
      </w:tr>
      <w:tr>
        <w:tc>
          <w:tcPr>
            <w:tcW w:type="dxa" w:w="4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زاوية الضلع القطبي</w:t>
            </w:r>
          </w:p>
        </w:tc>
        <w:tc>
          <w:tcPr>
            <w:tcW w:type="dxa" w:w="4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30.0054° ±0.05°</w:t>
            </w:r>
          </w:p>
        </w:tc>
      </w:tr>
      <w:tr>
        <w:tc>
          <w:tcPr>
            <w:tcW w:type="dxa" w:w="4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موضع العقدة</w:t>
            </w:r>
          </w:p>
        </w:tc>
        <w:tc>
          <w:tcPr>
            <w:tcW w:type="dxa" w:w="4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 مم أفقي، ±2 مم رأسي</w:t>
            </w:r>
          </w:p>
        </w:tc>
      </w:tr>
      <w:tr>
        <w:tc>
          <w:tcPr>
            <w:tcW w:type="dxa" w:w="4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موضع الخطوط المحفورة</w:t>
            </w:r>
          </w:p>
        </w:tc>
        <w:tc>
          <w:tcPr>
            <w:tcW w:type="dxa" w:w="4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مم</w:t>
            </w:r>
          </w:p>
        </w:tc>
      </w:tr>
      <w:tr>
        <w:tc>
          <w:tcPr>
            <w:tcW w:type="dxa" w:w="4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استقامة الضلع القطبي</w:t>
            </w:r>
          </w:p>
        </w:tc>
        <w:tc>
          <w:tcPr>
            <w:tcW w:type="dxa" w:w="4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±0.5 مم/م</w:t>
            </w:r>
          </w:p>
        </w:tc>
      </w:tr>
    </w:tbl>
    <w:p>
      <w:pPr>
        <w:pStyle w:val="Heading1"/>
        <w:bidi/>
        <w:spacing w:after="120" w:before="240"/>
        <w:jc w:val="right"/>
      </w:pPr>
      <w:r>
        <w:rPr>
          <w:rFonts w:ascii="Arial" w:cs="Arial" w:eastAsia="Arial" w:hAnsi="Arial"/>
          <w:b/>
          <w:bCs/>
          <w:color w:val="7A4A1C"/>
          <w:sz w:val="32"/>
          <w:szCs w:val="32"/>
          <w:rtl/>
        </w:rPr>
        <w:t xml:space="preserve">7. النقاط المرجعية</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900"/>
        <w:gridCol w:w="1500"/>
        <w:gridCol w:w="1500"/>
        <w:gridCol w:w="3500"/>
      </w:tblGrid>
      <w:tr>
        <w:trPr>
          <w:tblHeader/>
        </w:trPr>
        <w:tc>
          <w:tcPr>
            <w:tcW w:type="dxa" w:w="8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النقطة</w:t>
            </w:r>
          </w:p>
        </w:tc>
        <w:tc>
          <w:tcPr>
            <w:tcW w:type="dxa" w:w="9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x (م)</w:t>
            </w:r>
          </w:p>
        </w:tc>
        <w:tc>
          <w:tcPr>
            <w:tcW w:type="dxa" w:w="9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y (م)</w:t>
            </w:r>
          </w:p>
        </w:tc>
        <w:tc>
          <w:tcPr>
            <w:tcW w:type="dxa" w:w="15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E شبكي</w:t>
            </w:r>
          </w:p>
        </w:tc>
        <w:tc>
          <w:tcPr>
            <w:tcW w:type="dxa" w:w="15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N شبكي</w:t>
            </w:r>
          </w:p>
        </w:tc>
        <w:tc>
          <w:tcPr>
            <w:tcW w:type="dxa" w:w="35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الوصف</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638413.300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810602.700</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مركز الدائرة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P5</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-3.606</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638413.308</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810599.094</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قاعدة الضلع القطبي عند ±0.00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P6</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+0.550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638413.299</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810603.250</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مسقط العقدة (ارتفاعها 2.400)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P7</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+7.250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638413.285</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810609.950</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طرف خط الزوال شمالًا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P8</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-7.250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638413.315</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810595.450</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طرف خط الزوال جنوبًا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P9</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+7.250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638420.550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810602.715</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طرف الاعتدال شرقًا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P10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-7.250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638406.050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810602.685</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طرف الاعتدال غربًا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P11</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-3.856</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638413.308</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810598.844</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نهاية لوح القاعدة جنوبًا
</w:t>
            </w:r>
          </w:p>
        </w:tc>
      </w:tr>
      <w:tr>
        <w:tc>
          <w:tcPr>
            <w:tcW w:type="dxa" w:w="8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P12</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+0.000</w:t>
            </w:r>
          </w:p>
        </w:tc>
        <w:tc>
          <w:tcPr>
            <w:tcW w:type="dxa" w:w="9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+0.700</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638413.299</w:t>
            </w:r>
          </w:p>
        </w:tc>
        <w:tc>
          <w:tcPr>
            <w:tcW w:type="dxa" w:w="1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810603.400</w:t>
            </w:r>
          </w:p>
        </w:tc>
        <w:tc>
          <w:tcPr>
            <w:tcW w:type="dxa" w:w="35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نهاية لوح القاعدة شمالًا</w:t>
            </w:r>
          </w:p>
        </w:tc>
      </w:tr>
    </w:tbl>
    <w:p>
      <w:pPr>
        <w:pStyle w:val="Heading1"/>
        <w:bidi/>
        <w:spacing w:after="120" w:before="240"/>
        <w:jc w:val="right"/>
      </w:pPr>
      <w:r>
        <w:rPr>
          <w:rFonts w:ascii="Arial" w:cs="Arial" w:eastAsia="Arial" w:hAnsi="Arial"/>
          <w:b/>
          <w:bCs/>
          <w:color w:val="7A4A1C"/>
          <w:sz w:val="32"/>
          <w:szCs w:val="32"/>
          <w:rtl/>
        </w:rPr>
        <w:t xml:space="preserve">8. جدول التحقق عند الظهر الحقيقي (2027)</w:t>
      </w:r>
    </w:p>
    <w:p>
      <w:pPr>
        <w:bidi/>
        <w:spacing w:after="100" w:line="300"/>
        <w:jc w:val="right"/>
      </w:pPr>
      <w:r>
        <w:rPr>
          <w:rFonts w:ascii="Arial" w:cs="Arial" w:eastAsia="Arial" w:hAnsi="Arial"/>
          <w:sz w:val="22"/>
          <w:szCs w:val="22"/>
          <w:rtl/>
        </w:rPr>
        <w:t xml:space="preserve">«ص» تعني أن التاريخ في التوقيت الصيفي (UTC+3). y ظل الكرة: موضع مركز ظل الكرة على خط الزوال بالمتر من P0.</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300"/>
      </w:tblGrid>
      <w:tr>
        <w:trPr>
          <w:tblHeader/>
        </w:trPr>
        <w:tc>
          <w:tcPr>
            <w:tcW w:type="dxa" w:w="22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التاريخ</w:t>
            </w:r>
          </w:p>
        </w:tc>
        <w:tc>
          <w:tcPr>
            <w:tcW w:type="dxa" w:w="24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الظهر الحقيقي</w:t>
            </w:r>
          </w:p>
        </w:tc>
        <w:tc>
          <w:tcPr>
            <w:tcW w:type="dxa" w:w="22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معادلة الزمن (د)</w:t>
            </w:r>
          </w:p>
        </w:tc>
        <w:tc>
          <w:tcPr>
            <w:tcW w:type="dxa" w:w="23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y ظل الكرة (م)</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يناير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11:58</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-3.4</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+3.736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يناير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12:04</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-9.3</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+3.528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فبراير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12:09</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-13.5</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+3.134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فبراير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12:09</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-14.1</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+2.764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مارس</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12:07</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-12.4</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+2.398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مارس</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12:04</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-9.0</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+2.059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أبريل</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11:59</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-3.9</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+1.693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أبريل</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11:55</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-0.1</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+1.435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مايو</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12:52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+2.9</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+1.190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مايو</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12:51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+3.6</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+1.023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يونيو</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12:53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+2.2</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+0.885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يونيو</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12:55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-0.5</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+0.832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يوليو</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12:59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-3.8</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+0.840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يوليو</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13:01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-6.0</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+0.908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أغسطس</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13:01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-6.4</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+1.060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أغسطس</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13:00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-4.6</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+1.236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سبتمبر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12:55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-0.1</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+1.506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سبتمبر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12:50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+4.7</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+1.771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أكتوبر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12:45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+10.2</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+2.120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أكتوبر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12:41 ص</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+14.2</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+2.460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نوفمبر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11:39</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+16.5</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+2.902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نوفمبر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11:40</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+15.5</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+3.261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ديسمبر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11:44</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+11.1</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+3.600
</w:t>
            </w:r>
          </w:p>
        </w:tc>
      </w:tr>
      <w:tr>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ديسمبر</w:t>
            </w:r>
          </w:p>
        </w:tc>
        <w:tc>
          <w:tcPr>
            <w:tcW w:type="dxa" w:w="24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11:50</w:t>
            </w:r>
          </w:p>
        </w:tc>
        <w:tc>
          <w:tcPr>
            <w:tcW w:type="dxa" w:w="2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+5.0</w:t>
            </w:r>
          </w:p>
        </w:tc>
        <w:tc>
          <w:tcPr>
            <w:tcW w:type="dxa" w:w="2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+3.766</w:t>
            </w:r>
          </w:p>
        </w:tc>
      </w:tr>
    </w:tbl>
    <w:p>
      <w:pPr>
        <w:pStyle w:val="Heading1"/>
        <w:bidi/>
        <w:spacing w:after="120" w:before="240"/>
        <w:jc w:val="right"/>
      </w:pPr>
      <w:r>
        <w:rPr>
          <w:rFonts w:ascii="Arial" w:cs="Arial" w:eastAsia="Arial" w:hAnsi="Arial"/>
          <w:b/>
          <w:bCs/>
          <w:color w:val="7A4A1C"/>
          <w:sz w:val="32"/>
          <w:szCs w:val="32"/>
          <w:rtl/>
        </w:rPr>
        <w:t xml:space="preserve">9. جدول الكميات المبدئي</w:t>
      </w:r>
    </w:p>
    <w:p>
      <w:pPr>
        <w:bidi/>
        <w:spacing w:after="100" w:line="300"/>
        <w:jc w:val="right"/>
      </w:pPr>
      <w:r>
        <w:rPr>
          <w:rFonts w:ascii="Arial" w:cs="Arial" w:eastAsia="Arial" w:hAnsi="Arial"/>
          <w:sz w:val="22"/>
          <w:szCs w:val="22"/>
          <w:rtl/>
        </w:rPr>
        <w:t xml:space="preserve">الكميات صافية محسوبة من الرسومات، ويضيف المقاول الهالك وفق طريقته. البنود الإنشائية تقديرية حتى المراجعة الإنشائية.</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6300"/>
        <w:gridCol w:w="1000"/>
        <w:gridCol w:w="1200"/>
      </w:tblGrid>
      <w:tr>
        <w:trPr>
          <w:tblHeader/>
        </w:trPr>
        <w:tc>
          <w:tcPr>
            <w:tcW w:type="dxa" w:w="6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م</w:t>
            </w:r>
          </w:p>
        </w:tc>
        <w:tc>
          <w:tcPr>
            <w:tcW w:type="dxa" w:w="63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البند</w:t>
            </w:r>
          </w:p>
        </w:tc>
        <w:tc>
          <w:tcPr>
            <w:tcW w:type="dxa" w:w="10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الوحدة</w:t>
            </w:r>
          </w:p>
        </w:tc>
        <w:tc>
          <w:tcPr>
            <w:tcW w:type="dxa" w:w="1200"/>
            <w:tcBorders>
              <w:top w:val="single" w:color="BFB5A0" w:sz="4"/>
              <w:left w:val="single" w:color="BFB5A0" w:sz="4"/>
              <w:bottom w:val="single" w:color="BFB5A0" w:sz="4"/>
              <w:right w:val="single" w:color="BFB5A0" w:sz="4"/>
            </w:tcBorders>
            <w:shd w:fill="E8DFCC"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الكمية</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وإحلال ودمك تحت الساحة (عمق 0.50 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م³</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89.5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أساس حصوي متدرج 250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م³</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44.8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خرسانة مسلحة C30 للبلاطة 150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م³</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26.9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خرسانة مسلحة C30 لأساس الشاخص 5.0×1.0×0.6</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م³</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3.0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مسامير كيميائية M24 A4-70 بطول 350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عدد</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رخام جلالة 40 مم مقصوص ومحفور (180 بلاطة)</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م²</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126.5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جرانيت رمادي 40 مم لحلقة التقويم (36 قطاعًا)</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م²</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38.5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حافة جرانيت أحمر أسوان 300×180</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46.5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9</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مجرى صرف خطي محيطي 100 مم بغطاء ستانلس</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46.5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10</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أرباع الساعات — راتنج رمادي 2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70.8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11</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خطوط الساعات — راتنج أسود 8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35.9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12</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أنصاف الساعات — راتنج أسود 4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35.2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13</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مدارات البروج — نحاس 8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33.8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14</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مدارات البروج — نحاس 5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46.1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أول العصر — راتنج فيروزي 8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4.7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16</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العصر الثاني — راتنج فيروزي 5 متقطع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2.9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17</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منحنى ١٢ ظهرًا — راتنج بنفسجي 5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3.0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18</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منحنى ١٢ ظهرًا — راتنج بنفسجي 5 متقطع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3.1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19</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خط الزوال — نحاس 30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5.8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20</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خط القبلة — راتنج أزرق 8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6.7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21</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تدريج الأيام — نحاس 3 مم</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م.ط</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3.8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22</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حفر وتطعيم كتابة الحلقة (الأشهر والبروج والمنازل) ولوح معادلة الزمن والنصوص</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مقطوعية</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23</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أقراص أرقام الساعات نحاس Ø150 ونجوم مطعمة</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عدد</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13 + 12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24</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الشاخص: لوح 316L 30 مم قطع بالماء (4.55 م²)</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كجم</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1089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25</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لوح القاعدة 316L 4729×300×30</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كجم</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340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26</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الشمسة والكرة وأنبوب الرصد</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مقطوعية</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27</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طلاء سيراميكي برونزي للشاخص</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م²</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9.1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28</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أعمال التوقيع المساحي (GNSS-RTK) والتحقق</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مقطوعية</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
</w:t>
            </w:r>
          </w:p>
        </w:tc>
      </w:tr>
      <w:tr>
        <w:tc>
          <w:tcPr>
            <w:tcW w:type="dxa" w:w="6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29</w:t>
            </w:r>
          </w:p>
        </w:tc>
        <w:tc>
          <w:tcPr>
            <w:tcW w:type="dxa" w:w="63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نقل وتركيب الشاخص بالرافعة وضبطه وحقن المونة</w:t>
            </w:r>
          </w:p>
        </w:tc>
        <w:tc>
          <w:tcPr>
            <w:tcW w:type="dxa" w:w="10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مقطوعية</w:t>
            </w:r>
          </w:p>
        </w:tc>
        <w:tc>
          <w:tcPr>
            <w:tcW w:type="dxa" w:w="1200"/>
            <w:tcBorders>
              <w:top w:val="single" w:color="BFB5A0" w:sz="4"/>
              <w:left w:val="single" w:color="BFB5A0" w:sz="4"/>
              <w:bottom w:val="single" w:color="BFB5A0" w:sz="4"/>
              <w:right w:val="single" w:color="BFB5A0"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w:t>
            </w:r>
          </w:p>
        </w:tc>
      </w:tr>
    </w:tbl>
    <w:p>
      <w:pPr>
        <w:pStyle w:val="Heading1"/>
        <w:bidi/>
        <w:spacing w:after="120" w:before="240"/>
        <w:jc w:val="right"/>
      </w:pPr>
      <w:r>
        <w:rPr>
          <w:rFonts w:ascii="Arial" w:cs="Arial" w:eastAsia="Arial" w:hAnsi="Arial"/>
          <w:b/>
          <w:bCs/>
          <w:color w:val="7A4A1C"/>
          <w:sz w:val="32"/>
          <w:szCs w:val="32"/>
          <w:rtl/>
        </w:rPr>
        <w:t xml:space="preserve">10. السلامة والحماية والصيانة</w:t>
      </w:r>
    </w:p>
    <w:p>
      <w:pPr>
        <w:pStyle w:val="ListParagraph"/>
        <w:numPr>
          <w:ilvl w:val="0"/>
          <w:numId w:val="2"/>
        </w:numPr>
        <w:bidi/>
        <w:spacing w:after="60" w:line="290"/>
        <w:jc w:val="right"/>
      </w:pPr>
      <w:r>
        <w:rPr>
          <w:rFonts w:ascii="Arial" w:cs="Arial" w:eastAsia="Arial" w:hAnsi="Arial"/>
          <w:sz w:val="22"/>
          <w:szCs w:val="22"/>
          <w:rtl/>
        </w:rPr>
        <w:t xml:space="preserve">رفع الشاخص بخطة رفع معتمدة ومنطقة محظورة حول الرافعة.</w:t>
      </w:r>
    </w:p>
    <w:p>
      <w:pPr>
        <w:pStyle w:val="ListParagraph"/>
        <w:numPr>
          <w:ilvl w:val="0"/>
          <w:numId w:val="2"/>
        </w:numPr>
        <w:bidi/>
        <w:spacing w:after="60" w:line="290"/>
        <w:jc w:val="right"/>
      </w:pPr>
      <w:r>
        <w:rPr>
          <w:rFonts w:ascii="Arial" w:cs="Arial" w:eastAsia="Arial" w:hAnsi="Arial"/>
          <w:sz w:val="22"/>
          <w:szCs w:val="22"/>
          <w:rtl/>
        </w:rPr>
        <w:t xml:space="preserve">حماية الحافة القطبية والوجه المصقول بغطاء حتى التسليم؛ يُمنع مرور المعدات على البلاط.</w:t>
      </w:r>
    </w:p>
    <w:p>
      <w:pPr>
        <w:pStyle w:val="ListParagraph"/>
        <w:numPr>
          <w:ilvl w:val="0"/>
          <w:numId w:val="2"/>
        </w:numPr>
        <w:bidi/>
        <w:spacing w:after="60" w:line="290"/>
        <w:jc w:val="right"/>
      </w:pPr>
      <w:r>
        <w:rPr>
          <w:rFonts w:ascii="Arial" w:cs="Arial" w:eastAsia="Arial" w:hAnsi="Arial"/>
          <w:sz w:val="22"/>
          <w:szCs w:val="22"/>
          <w:rtl/>
        </w:rPr>
        <w:t xml:space="preserve">الصيانة: تنظيف أسبوعي بالماء، وتلميع النحاس كل 6 أشهر، وفحص ميل الشاخص سنويًّا يوم الاعتدال.</w:t>
      </w:r>
    </w:p>
    <w:p>
      <w:pPr>
        <w:pStyle w:val="ListParagraph"/>
        <w:numPr>
          <w:ilvl w:val="0"/>
          <w:numId w:val="2"/>
        </w:numPr>
        <w:bidi/>
        <w:spacing w:after="60" w:line="290"/>
        <w:jc w:val="right"/>
      </w:pPr>
      <w:r>
        <w:rPr>
          <w:rFonts w:ascii="Arial" w:cs="Arial" w:eastAsia="Arial" w:hAnsi="Arial"/>
          <w:sz w:val="22"/>
          <w:szCs w:val="22"/>
          <w:rtl/>
        </w:rPr>
        <w:t xml:space="preserve">لا تُستعمل مواد تنظيف حمضية على الرخام.</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A847C"/>
        <w:sz w:val="16"/>
        <w:szCs w:val="16"/>
        <w:rtl/>
      </w:rPr>
      <w:t xml:space="preserve">مزولة الفسطاط — طريقة التنفيذ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2026-10-25T09:23:43.556Z</dcterms:created>
  <dcterms:modified xsi:type="dcterms:W3CDTF">2026-10-25T09:23:43.563Z</dcterms:modified>
</cp:coreProperties>
</file>

<file path=docProps/custom.xml><?xml version="1.0" encoding="utf-8"?>
<Properties xmlns="http://schemas.openxmlformats.org/officeDocument/2006/custom-properties" xmlns:vt="http://schemas.openxmlformats.org/officeDocument/2006/docPropsVTypes"/>
</file>