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7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0"/>
      </w:tblGrid>
      <w:tr w14:paraId="78759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9720" w:type="dxa"/>
          </w:tcPr>
          <w:p w14:paraId="429E2CDE">
            <w:pPr>
              <w:rPr>
                <w:rFonts w:ascii="黑体" w:eastAsia="黑体"/>
                <w:b/>
                <w:sz w:val="24"/>
              </w:rPr>
            </w:pPr>
            <w:r>
              <w:rPr>
                <w:b/>
                <w:sz w:val="28"/>
                <w:szCs w:val="28"/>
              </w:rPr>
              <w:br w:type="page"/>
            </w:r>
            <w:r>
              <w:rPr>
                <w:rFonts w:hint="eastAsia" w:ascii="黑体" w:eastAsia="黑体"/>
                <w:b/>
                <w:sz w:val="24"/>
              </w:rPr>
              <w:t>一、实验目的</w:t>
            </w:r>
          </w:p>
          <w:p w14:paraId="3F24199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240" w:beforeAutospacing="0" w:after="0" w:afterAutospacing="0" w:line="240" w:lineRule="auto"/>
              <w:ind w:left="0" w:firstLine="0"/>
              <w:jc w:val="left"/>
              <w:textAlignment w:val="baseline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1、了解准稳态法测量导热系数和比热的原理；</w:t>
            </w:r>
          </w:p>
          <w:p w14:paraId="1384694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240" w:beforeAutospacing="0" w:after="0" w:afterAutospacing="0" w:line="240" w:lineRule="auto"/>
              <w:ind w:left="0" w:firstLine="0"/>
              <w:jc w:val="left"/>
              <w:textAlignment w:val="baseline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2、学习热电偶测量温度的原理和使用方法；</w:t>
            </w:r>
          </w:p>
          <w:p w14:paraId="0A3F3FF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240" w:beforeAutospacing="0" w:after="0" w:afterAutospacing="0" w:line="240" w:lineRule="auto"/>
              <w:ind w:left="0" w:firstLine="0"/>
              <w:jc w:val="left"/>
              <w:textAlignment w:val="baseline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3、用准稳态法测量不良导体的导热系数和比热。</w:t>
            </w:r>
          </w:p>
          <w:p w14:paraId="010329F9">
            <w:pPr>
              <w:spacing w:line="300" w:lineRule="auto"/>
              <w:ind w:firstLine="420" w:firstLineChars="200"/>
              <w:rPr>
                <w:rFonts w:ascii="宋体" w:hAnsi="宋体"/>
                <w:szCs w:val="21"/>
              </w:rPr>
            </w:pPr>
          </w:p>
        </w:tc>
      </w:tr>
      <w:tr w14:paraId="312E1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9720" w:type="dxa"/>
          </w:tcPr>
          <w:p w14:paraId="36481A4C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二、实验原理</w:t>
            </w:r>
          </w:p>
          <w:p w14:paraId="7D0ED738">
            <w:pPr>
              <w:rPr>
                <w:rFonts w:ascii="宋体" w:hAnsi="宋体"/>
              </w:rPr>
            </w:pPr>
            <w:r>
              <w:rPr>
                <w:rFonts w:hint="eastAsia" w:eastAsia="黑体"/>
                <w:sz w:val="24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 </w:t>
            </w:r>
            <w:r>
              <w:rPr>
                <w:rFonts w:hint="eastAsia" w:ascii="宋体" w:hAnsi="宋体"/>
              </w:rPr>
              <w:t>1、模型的建立</w:t>
            </w:r>
          </w:p>
          <w:p w14:paraId="298078C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240" w:beforeAutospacing="0" w:after="0" w:afterAutospacing="0" w:line="240" w:lineRule="auto"/>
              <w:ind w:left="0" w:firstLine="0"/>
              <w:jc w:val="left"/>
              <w:textAlignment w:val="baseline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考虑右图所示的导热模型：平板厚度为</w:t>
            </w:r>
            <w:r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2R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，初始温度为</w:t>
            </w:r>
            <w:r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t0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，从两边向中心加热的热流密度为</w:t>
            </w:r>
            <w:r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qc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，</w:t>
            </w:r>
          </w:p>
          <w:p w14:paraId="4A224DE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240" w:beforeAutospacing="0" w:after="0" w:afterAutospacing="0" w:line="240" w:lineRule="auto"/>
              <w:ind w:left="0" w:firstLine="0"/>
              <w:jc w:val="left"/>
              <w:textAlignment w:val="baseline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为时间，则有</w:t>
            </w:r>
          </w:p>
          <w:p w14:paraId="4B47AE4E">
            <w:pPr>
              <w:ind w:left="630" w:leftChars="300"/>
              <w:rPr>
                <w:rFonts w:ascii="宋体" w:hAnsi="宋体"/>
                <w:szCs w:val="21"/>
              </w:rPr>
            </w:pPr>
          </w:p>
          <w:p w14:paraId="26B3A4FD">
            <w:pPr>
              <w:ind w:firstLine="210" w:firstLineChars="100"/>
              <w:rPr>
                <w:rFonts w:hint="default" w:hAnsi="Cambria Math"/>
                <w:i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∂t(x,τ)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∂τ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=a</m:t>
                          </m:r>
                          <m:f>
                            <m:f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∂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t(x,τ)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∂x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den>
                          </m:f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∂t(R,τ)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∂x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q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c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den>
                          </m:f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t(x,0)=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</m:mr>
                    </m: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 xml:space="preserve">    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d>
                <m:f>
                  <m:f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∂t(0,τ)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∂x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=0</m:t>
                </m:r>
              </m:oMath>
            </m:oMathPara>
          </w:p>
          <w:p w14:paraId="46A7F1C1">
            <w:pPr>
              <w:ind w:firstLine="210" w:firstLineChars="100"/>
              <w:rPr>
                <w:rFonts w:hint="default" w:hAnsi="Cambria Math"/>
                <w:i/>
                <w:sz w:val="21"/>
              </w:rPr>
            </w:pPr>
          </w:p>
          <w:p w14:paraId="616E0C48">
            <w:pPr>
              <w:ind w:firstLine="210" w:firstLineChars="100"/>
              <w:rPr>
                <w:rFonts w:hint="default" w:hAnsi="Cambria Math"/>
                <w:i/>
                <w:sz w:val="21"/>
              </w:rPr>
            </w:pPr>
            <w:r>
              <w:drawing>
                <wp:inline distT="0" distB="0" distL="114300" distR="114300">
                  <wp:extent cx="1330960" cy="1536065"/>
                  <wp:effectExtent l="0" t="0" r="10160" b="317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53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042F0B">
            <w:pPr>
              <w:pStyle w:val="2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bidi w:val="0"/>
              <w:spacing w:before="0" w:beforeAutospacing="0" w:after="0" w:afterAutospacing="0" w:line="240" w:lineRule="auto"/>
              <w:ind w:left="0" w:firstLine="0"/>
              <w:jc w:val="left"/>
              <w:textAlignment w:val="baseline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Cambria Math" w:hAnsi="Cambria Math"/>
                <w:szCs w:val="21"/>
              </w:rPr>
              <w:t xml:space="preserve"> </w:t>
            </w:r>
            <w:r>
              <w:rPr>
                <w:rFonts w:ascii="Cambria Math" w:hAnsi="Cambria Math"/>
                <w:szCs w:val="21"/>
              </w:rPr>
              <w:t xml:space="preserve">     </w:t>
            </w:r>
            <w:r>
              <w:rPr>
                <w:rFonts w:hint="eastAsia" w:ascii="Cambria Math" w:hAnsi="Cambria Math" w:eastAsia="宋体" w:cs="Times New Roman"/>
                <w:kern w:val="2"/>
                <w:sz w:val="21"/>
                <w:szCs w:val="21"/>
                <w:lang w:val="en-US" w:eastAsia="zh-CN" w:bidi="ar-SA"/>
              </w:rPr>
              <w:t>2、方程的解及比热导热系数的计算</w:t>
            </w:r>
          </w:p>
          <w:p w14:paraId="1CA05DDE">
            <w:pPr>
              <w:ind w:firstLine="630" w:firstLineChars="300"/>
              <w:rPr>
                <w:rFonts w:hint="eastAsia" w:ascii="Cambria Math" w:hAnsi="Cambria Math" w:eastAsia="宋体"/>
                <w:szCs w:val="21"/>
                <w:lang w:eastAsia="zh-CN"/>
              </w:rPr>
            </w:pPr>
            <w:r>
              <w:rPr>
                <w:rFonts w:hint="eastAsia" w:ascii="Cambria Math" w:hAnsi="Cambria Math"/>
                <w:szCs w:val="21"/>
              </w:rPr>
              <w:t>质量为M1的样品加热后在低温环境冷却：单位时间热量损失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ΔQ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Δt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ascii="Cambria Math" w:hAnsi="Cambria Math"/>
                <w:szCs w:val="21"/>
              </w:rPr>
              <w:t>与温度下降速率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Δt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ascii="Cambria Math" w:hAnsi="Cambria Math"/>
                <w:szCs w:val="21"/>
              </w:rPr>
              <w:t>成正比</w:t>
            </w:r>
            <w:r>
              <w:rPr>
                <w:rFonts w:hint="eastAsia" w:ascii="Cambria Math" w:hAnsi="Cambria Math"/>
                <w:szCs w:val="21"/>
                <w:lang w:eastAsia="zh-CN"/>
              </w:rPr>
              <w:t>：</w:t>
            </w:r>
          </w:p>
          <w:p w14:paraId="4AB0336E">
            <w:pPr>
              <w:rPr>
                <w:rFonts w:hAnsi="Cambria Math"/>
                <w:i w:val="0"/>
                <w:sz w:val="24"/>
              </w:rPr>
            </w:pPr>
            <w:r>
              <w:rPr>
                <w:rFonts w:ascii="Cambria Math" w:hAnsi="Cambria Math"/>
                <w:szCs w:val="21"/>
              </w:rPr>
              <w:t xml:space="preserve">     </w:t>
            </w:r>
            <w:r>
              <w:rPr>
                <w:rFonts w:hint="eastAsia" w:ascii="Cambria Math" w:hAnsi="Cambria Math"/>
                <w:szCs w:val="21"/>
                <w:lang w:val="en-US" w:eastAsia="zh-CN"/>
              </w:rPr>
              <w:t xml:space="preserve">  </w:t>
            </w:r>
            <m:oMath>
              <m:r>
                <m:rPr/>
                <w:rPr>
                  <w:rFonts w:hint="default" w:ascii="Cambria Math" w:hAnsi="Cambria Math"/>
                </w:rPr>
                <m:t>t(x,τ)=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λ</m:t>
                  </m:r>
                  <m:ctrlPr>
                    <w:rPr>
                      <w:rFonts w:hint="default" w:ascii="Cambria Math" w:hAnsi="Cambria Math"/>
                    </w:rPr>
                  </m:ctrlPr>
                </m:den>
              </m:f>
              <m:d>
                <m:dPr>
                  <m:ctrlPr>
                    <w:rPr>
                      <w:rFonts w:hint="default"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</w:rPr>
                    <m:t>τ+</m:t>
                  </m:r>
                  <m:f>
                    <m:fPr>
                      <m:ctrlPr>
                        <w:rPr>
                          <w:rFonts w:hint="default"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2R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hint="default"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2R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π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</w:rPr>
                      </m:ctrlPr>
                    </m:den>
                  </m:f>
                  <m:nary>
                    <m:naryPr>
                      <m:chr m:val="∑"/>
                      <m:limLoc m:val="subSup"/>
                      <m:ctrlPr>
                        <w:rPr>
                          <w:rFonts w:hint="default" w:ascii="Cambria Math" w:hAnsi="Cambria Math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n=1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</w:rPr>
                        <m:t>∞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sup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(−1</m:t>
                          </m:r>
                          <m:sSup>
                            <m:sSupPr>
                              <m:ctrlPr>
                                <w:rPr>
                                  <w:rFonts w:hint="default"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)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n+1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hint="default"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</m:nary>
                  <m:func>
                    <m:funcPr>
                      <m:ctrlPr>
                        <w:rPr>
                          <w:rFonts w:hint="default"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cos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fName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nπ</m:t>
                          </m: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/>
                    </w:rPr>
                    <m:t>x⋅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e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a</m:t>
                          </m:r>
                          <m:sSup>
                            <m:sSupPr>
                              <m:ctrlPr>
                                <w:rPr>
                                  <w:rFonts w:hint="default"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  <m:sSup>
                            <m:sSupPr>
                              <m:ctrlPr>
                                <w:rPr>
                                  <w:rFonts w:hint="default"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π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hint="default"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/>
                        </w:rPr>
                        <m:t>τ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</w:rPr>
                  </m:ctrlPr>
                </m:e>
              </m:d>
            </m:oMath>
            <w:r>
              <w:rPr>
                <w:rFonts w:hint="eastAsia" w:ascii="Cambria Math" w:hAnsi="Cambria Math"/>
                <w:szCs w:val="21"/>
                <w:lang w:val="en-US" w:eastAsia="zh-CN"/>
              </w:rPr>
              <w:t xml:space="preserve">                        </w:t>
            </w:r>
            <w:r>
              <w:rPr>
                <w:rFonts w:ascii="Cambria Math" w:hAnsi="Cambria Math"/>
                <w:szCs w:val="21"/>
              </w:rPr>
              <w:t xml:space="preserve"> </w:t>
            </w:r>
          </w:p>
          <w:p w14:paraId="2BCCF401">
            <w:pPr>
              <w:pStyle w:val="2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bidi w:val="0"/>
              <w:spacing w:before="0" w:beforeAutospacing="0" w:after="0" w:afterAutospacing="0" w:line="240" w:lineRule="auto"/>
              <w:ind w:left="0" w:firstLine="0"/>
              <w:jc w:val="left"/>
              <w:textAlignment w:val="baseline"/>
              <w:rPr>
                <w:rFonts w:hint="eastAsia" w:ascii="Cambria Math" w:hAnsi="Cambria Math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Cambria Math"/>
                <w:i w:val="0"/>
                <w:sz w:val="24"/>
                <w:lang w:val="en-US" w:eastAsia="zh-CN"/>
              </w:rPr>
              <w:t xml:space="preserve">     </w:t>
            </w:r>
            <w:r>
              <w:rPr>
                <w:rFonts w:hint="eastAsia" w:ascii="Cambria Math" w:hAnsi="Cambria Math" w:eastAsia="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忽略指数衰减的级数项后</w:t>
            </w:r>
          </w:p>
          <w:p w14:paraId="329D5146">
            <w:pPr>
              <w:pStyle w:val="2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bidi w:val="0"/>
              <w:spacing w:before="0" w:beforeAutospacing="0" w:after="0" w:afterAutospacing="0" w:line="240" w:lineRule="auto"/>
              <w:ind w:left="0" w:firstLine="0"/>
              <w:jc w:val="left"/>
              <w:textAlignment w:val="baseline"/>
              <w:rPr>
                <w:rFonts w:hint="default" w:ascii="Cambria Math" w:hAnsi="Cambria Math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</w:t>
            </w:r>
          </w:p>
          <w:p w14:paraId="5932ABE6">
            <w:pPr>
              <w:rPr>
                <w:rFonts w:hint="default" w:eastAsia="宋体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</w:rPr>
                  <m:t>t(x,τ)=</m:t>
                </m:r>
                <m:sSub>
                  <m:sSubPr>
                    <m:ctrlPr>
                      <w:rPr>
                        <w:rFonts w:hint="default"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</w:rPr>
                      <m:t>λ</m:t>
                    </m:r>
                    <m:ctrlPr>
                      <w:rPr>
                        <w:rFonts w:hint="default" w:ascii="Cambria Math" w:hAnsi="Cambria Math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</w:rPr>
                          <m:t>aτ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</w:rPr>
                          <m:t>2R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</w:rPr>
                          <m:t>R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</w:rPr>
                          <m:t>6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</w:rPr>
                    </m:ctrlPr>
                  </m:e>
                </m:d>
              </m:oMath>
            </m:oMathPara>
          </w:p>
          <w:p w14:paraId="4D52CED4">
            <w:pPr>
              <w:jc w:val="center"/>
            </w:pPr>
          </w:p>
          <w:p w14:paraId="06163B02">
            <w:pPr>
              <w:ind w:firstLine="840" w:firstLineChars="4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中心处x=0</w:t>
            </w:r>
          </w:p>
          <w:p w14:paraId="19F645CE">
            <w:pPr>
              <w:ind w:firstLine="840" w:firstLineChars="4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m:oMath>
              <m:r>
                <m:rPr/>
                <w:rPr>
                  <w:rFonts w:hint="default" w:ascii="Cambria Math" w:hAnsi="Cambria Math"/>
                </w:rPr>
                <m:t>t(x,τ)=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λ</m:t>
                  </m:r>
                  <m:ctrlPr>
                    <w:rPr>
                      <w:rFonts w:hint="default" w:ascii="Cambria Math" w:hAnsi="Cambria Math"/>
                    </w:rPr>
                  </m:ctrlPr>
                </m:den>
              </m:f>
              <m:d>
                <m:dPr>
                  <m:begChr m:val="["/>
                  <m:endChr m:val="]"/>
                  <m:ctrlPr>
                    <w:rPr>
                      <w:rFonts w:hint="default"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aτ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</w:rPr>
                  </m:ctrlPr>
                </m:e>
              </m:d>
            </m:oMath>
          </w:p>
          <w:p w14:paraId="18FB8356">
            <w:pPr>
              <w:ind w:firstLine="840" w:firstLineChars="4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加热面处x=R</w:t>
            </w:r>
          </w:p>
          <w:p w14:paraId="2D717920">
            <w:pPr>
              <w:jc w:val="left"/>
              <w:rPr>
                <w:rFonts w:hint="default" w:hAnsi="Cambria Math"/>
                <w:i w:val="0"/>
              </w:rPr>
            </w:pPr>
            <w:r>
              <w:rPr>
                <w:rFonts w:hint="eastAsia"/>
                <w:lang w:val="en-US" w:eastAsia="zh-CN"/>
              </w:rPr>
              <w:t xml:space="preserve">           </w:t>
            </w:r>
            <m:oMath>
              <m:r>
                <m:rPr/>
                <w:rPr>
                  <w:rFonts w:hint="default" w:ascii="Cambria Math" w:hAnsi="Cambria Math"/>
                </w:rPr>
                <m:t>t(x,τ)=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λ</m:t>
                  </m:r>
                  <m:ctrlPr>
                    <w:rPr>
                      <w:rFonts w:hint="default" w:ascii="Cambria Math" w:hAnsi="Cambria Math"/>
                    </w:rPr>
                  </m:ctrlPr>
                </m:den>
              </m:f>
              <m:d>
                <m:dPr>
                  <m:begChr m:val="["/>
                  <m:endChr m:val="]"/>
                  <m:ctrlPr>
                    <w:rPr>
                      <w:rFonts w:hint="default"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aτ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</w:rPr>
                  </m:ctrlPr>
                </m:e>
              </m:d>
            </m:oMath>
          </w:p>
          <w:p w14:paraId="147A9312">
            <w:pPr>
              <w:jc w:val="left"/>
              <w:rPr>
                <w:rFonts w:hint="eastAsia" w:hAnsi="Cambria Math"/>
                <w:i w:val="0"/>
                <w:lang w:val="en-US" w:eastAsia="zh-CN"/>
              </w:rPr>
            </w:pPr>
            <w:r>
              <w:rPr>
                <w:rFonts w:hint="eastAsia" w:hAnsi="Cambria Math"/>
                <w:i w:val="0"/>
                <w:lang w:val="en-US" w:eastAsia="zh-CN"/>
              </w:rPr>
              <w:t xml:space="preserve">     比较以上两式可得</w:t>
            </w:r>
          </w:p>
          <w:p w14:paraId="1F5948E0">
            <w:pPr>
              <w:jc w:val="left"/>
              <w:rPr>
                <w:rFonts w:hint="default" w:hAnsi="Cambria Math" w:eastAsia="宋体"/>
                <w:i w:val="0"/>
                <w:lang w:val="en-US" w:eastAsia="zh-CN"/>
              </w:rPr>
            </w:pPr>
            <w:r>
              <w:rPr>
                <w:rFonts w:hint="eastAsia" w:hAnsi="Cambria Math"/>
                <w:i w:val="0"/>
                <w:lang w:val="en-US" w:eastAsia="zh-CN"/>
              </w:rPr>
              <w:t xml:space="preserve">      </w:t>
            </w:r>
            <m:oMath>
              <m:r>
                <m:rPr/>
                <w:rPr>
                  <w:rFonts w:hint="default" w:ascii="Cambria Math" w:hAnsi="Cambria Math"/>
                </w:rPr>
                <m:t>λ=</m:t>
              </m:r>
              <m:f>
                <m:fPr>
                  <m:ctrlPr>
                    <w:rPr>
                      <w:rFonts w:hint="default"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R</m:t>
                  </m:r>
                  <m:ctrlPr>
                    <w:rPr>
                      <w:rFonts w:hint="default" w:ascii="Cambria Math" w:hAnsi="Cambria Math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2Δt</m:t>
                  </m:r>
                  <m:ctrlPr>
                    <w:rPr>
                      <w:rFonts w:hint="default" w:ascii="Cambria Math" w:hAnsi="Cambria Math"/>
                    </w:rPr>
                  </m:ctrlPr>
                </m:den>
              </m:f>
            </m:oMath>
          </w:p>
          <w:p w14:paraId="71A9AE4D">
            <w:pPr>
              <w:rPr>
                <w:rFonts w:hint="eastAsia" w:hAnsi="Cambria Math"/>
                <w:i w:val="0"/>
                <w:lang w:val="en-US" w:eastAsia="zh-CN"/>
              </w:rPr>
            </w:pPr>
            <w:r>
              <w:rPr>
                <w:rFonts w:hint="eastAsia" w:ascii="Cambria Math" w:hAnsi="Cambria Math"/>
                <w:i/>
                <w:szCs w:val="21"/>
                <w:lang w:val="en-US" w:eastAsia="zh-CN"/>
              </w:rPr>
              <w:t xml:space="preserve">     </w:t>
            </w:r>
            <w:r>
              <w:rPr>
                <w:rFonts w:hint="eastAsia" w:hAnsi="Cambria Math"/>
                <w:i w:val="0"/>
                <w:lang w:val="en-US" w:eastAsia="zh-CN"/>
              </w:rPr>
              <w:t>由热流的定义（流入多少热量则温度升高多少）知</w:t>
            </w:r>
          </w:p>
          <w:p w14:paraId="1AC6B6E9">
            <w:pPr>
              <w:rPr>
                <w:rFonts w:hAnsi="Cambria Math"/>
                <w:i/>
              </w:rPr>
            </w:pPr>
            <w:r>
              <w:rPr>
                <w:rFonts w:hint="eastAsia" w:ascii="Cambria Math" w:hAnsi="Cambria Math"/>
                <w:i/>
                <w:szCs w:val="21"/>
                <w:lang w:val="en-US" w:eastAsia="zh-CN"/>
              </w:rPr>
              <w:t xml:space="preserve">      </w:t>
            </w:r>
            <m:oMath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q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</w:rPr>
                <m:t>=cρR</m:t>
              </m:r>
              <m:f>
                <m:fPr>
                  <m:ctrlPr>
                    <w:rPr>
                      <w:rFonts w:hint="default" w:ascii="Cambria Math" w:hAnsi="Cambria Math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</w:rPr>
                    <m:t>dt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dτ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</m:oMath>
          </w:p>
          <w:p w14:paraId="2FE821E0">
            <w:pPr>
              <w:rPr>
                <w:rFonts w:hint="eastAsia" w:hAnsi="Cambria Math"/>
                <w:i/>
                <w:lang w:val="en-US" w:eastAsia="zh-CN"/>
              </w:rPr>
            </w:pPr>
            <w:r>
              <w:rPr>
                <w:rFonts w:hint="eastAsia" w:hAnsi="Cambria Math"/>
                <w:i/>
                <w:lang w:val="en-US" w:eastAsia="zh-CN"/>
              </w:rPr>
              <w:t xml:space="preserve">     即</w:t>
            </w:r>
          </w:p>
          <w:p w14:paraId="0BA6EF97">
            <w:pPr>
              <w:rPr>
                <w:rFonts w:hint="default" w:hAnsi="Cambria Math"/>
                <w:i/>
                <w:lang w:val="en-US" w:eastAsia="zh-CN"/>
              </w:rPr>
            </w:pPr>
            <w:r>
              <w:rPr>
                <w:rFonts w:hint="eastAsia" w:hAnsi="Cambria Math"/>
                <w:i/>
                <w:lang w:val="en-US" w:eastAsia="zh-CN"/>
              </w:rPr>
              <w:t xml:space="preserve">      </w:t>
            </w:r>
            <m:oMath>
              <m:r>
                <m:rPr/>
                <w:rPr>
                  <w:rFonts w:hint="default" w:ascii="Cambria Math" w:hAnsi="Cambria Math"/>
                </w:rPr>
                <m:t>c=</m:t>
              </m:r>
              <m:f>
                <m:fPr>
                  <m:ctrlPr>
                    <w:rPr>
                      <w:rFonts w:hint="default"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ρR</m:t>
                  </m:r>
                  <m:f>
                    <m:fPr>
                      <m:ctrlPr>
                        <w:rPr>
                          <w:rFonts w:hint="default"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dt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dτ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</w:rPr>
                  </m:ctrlPr>
                </m:den>
              </m:f>
            </m:oMath>
          </w:p>
          <w:p w14:paraId="0B99CA2E">
            <w:pPr>
              <w:ind w:left="630" w:hanging="630" w:hangingChars="300"/>
              <w:rPr>
                <w:rFonts w:hint="eastAsia" w:ascii="Cambria Math" w:hAnsi="Cambria Math"/>
                <w:i/>
                <w:szCs w:val="21"/>
                <w:lang w:val="en-US" w:eastAsia="zh-CN"/>
              </w:rPr>
            </w:pPr>
            <w:r>
              <w:rPr>
                <w:rFonts w:hint="eastAsia" w:ascii="Cambria Math" w:hAnsi="Cambria Math"/>
                <w:i/>
                <w:szCs w:val="21"/>
                <w:lang w:val="en-US" w:eastAsia="zh-CN"/>
              </w:rPr>
              <w:t xml:space="preserve">      热电效应：</w:t>
            </w:r>
          </w:p>
          <w:p w14:paraId="5F282C5D">
            <w:pPr>
              <w:ind w:left="630" w:hanging="630" w:hangingChars="300"/>
              <w:rPr>
                <w:rFonts w:hint="eastAsia" w:ascii="Cambria Math" w:hAnsi="Cambria Math"/>
                <w:i/>
                <w:szCs w:val="21"/>
                <w:lang w:val="en-US" w:eastAsia="zh-CN"/>
              </w:rPr>
            </w:pPr>
            <w:r>
              <w:rPr>
                <w:rFonts w:hint="eastAsia" w:ascii="Cambria Math" w:hAnsi="Cambria Math"/>
                <w:i/>
                <w:szCs w:val="21"/>
                <w:lang w:val="en-US" w:eastAsia="zh-CN"/>
              </w:rPr>
              <w:t>当两根不同材料的金属丝并联，一端置于冷端，一端置于热端时会产生电势差</w:t>
            </w:r>
          </w:p>
          <w:p w14:paraId="7CB18E86">
            <w:pPr>
              <w:ind w:left="630" w:hanging="630" w:hangingChars="300"/>
              <w:rPr>
                <w:rFonts w:hint="default" w:ascii="Cambria Math" w:hAnsi="Cambria Math" w:eastAsia="宋体"/>
                <w:i w:val="0"/>
                <w:iCs/>
                <w:szCs w:val="21"/>
                <w:lang w:val="en-US" w:eastAsia="zh-CN"/>
              </w:rPr>
            </w:pPr>
            <w:r>
              <w:rPr>
                <w:rFonts w:hint="eastAsia" w:ascii="Cambria Math" w:hAnsi="Cambria Math"/>
                <w:i w:val="0"/>
                <w:iCs/>
                <w:szCs w:val="21"/>
                <w:lang w:val="en-US" w:eastAsia="zh-CN"/>
              </w:rPr>
              <w:t xml:space="preserve">  </w:t>
            </w:r>
            <w:r>
              <w:drawing>
                <wp:inline distT="0" distB="0" distL="114300" distR="114300">
                  <wp:extent cx="2796540" cy="1653540"/>
                  <wp:effectExtent l="0" t="0" r="7620" b="762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54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E1D7B2"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     </w:t>
            </w:r>
          </w:p>
        </w:tc>
      </w:tr>
      <w:tr w14:paraId="30058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9720" w:type="dxa"/>
          </w:tcPr>
          <w:p w14:paraId="7857E37B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三、实验仪器：</w:t>
            </w:r>
          </w:p>
          <w:p w14:paraId="7A2DC015">
            <w:pPr>
              <w:ind w:firstLine="525" w:firstLineChars="250"/>
              <w:jc w:val="center"/>
            </w:pPr>
            <w:r>
              <w:drawing>
                <wp:inline distT="0" distB="0" distL="114300" distR="114300">
                  <wp:extent cx="4442460" cy="2415540"/>
                  <wp:effectExtent l="0" t="0" r="7620" b="762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460" cy="2415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A587EA">
            <w:pPr>
              <w:ind w:firstLine="525" w:firstLineChars="25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图3：实验仪器</w:t>
            </w:r>
          </w:p>
          <w:p w14:paraId="3202E903">
            <w:pPr>
              <w:jc w:val="both"/>
              <w:rPr>
                <w:rFonts w:hint="default" w:eastAsia="宋体"/>
                <w:lang w:val="en-US" w:eastAsia="zh-CN"/>
              </w:rPr>
            </w:pPr>
          </w:p>
        </w:tc>
      </w:tr>
      <w:tr w14:paraId="2C296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9720" w:type="dxa"/>
          </w:tcPr>
          <w:p w14:paraId="04146A6F">
            <w:pPr>
              <w:rPr>
                <w:rFonts w:hint="eastAsia"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四、实验</w:t>
            </w:r>
            <w:r>
              <w:rPr>
                <w:rFonts w:hint="eastAsia" w:eastAsia="黑体"/>
                <w:sz w:val="24"/>
                <w:lang w:val="en-US" w:eastAsia="zh-CN"/>
              </w:rPr>
              <w:t>步骤</w:t>
            </w:r>
            <w:r>
              <w:rPr>
                <w:rFonts w:hint="eastAsia" w:eastAsia="黑体"/>
                <w:sz w:val="24"/>
              </w:rPr>
              <w:t>：</w:t>
            </w:r>
          </w:p>
          <w:p w14:paraId="3BCAC410">
            <w:pPr>
              <w:ind w:firstLine="420" w:firstLineChars="200"/>
              <w:rPr>
                <w:rFonts w:hint="cs" w:ascii="宋体" w:hAnsi="宋体"/>
                <w:szCs w:val="21"/>
              </w:rPr>
            </w:pPr>
            <w:r>
              <w:rPr>
                <w:rFonts w:hint="cs" w:ascii="宋体" w:hAnsi="宋体"/>
                <w:szCs w:val="21"/>
              </w:rPr>
              <w:t>给杜瓦瓶加满水后，连接好电路</w:t>
            </w:r>
          </w:p>
          <w:p w14:paraId="3E0DCFEA">
            <w:pPr>
              <w:ind w:firstLine="420" w:firstLineChars="200"/>
            </w:pPr>
            <w:r>
              <w:drawing>
                <wp:inline distT="0" distB="0" distL="114300" distR="114300">
                  <wp:extent cx="2357755" cy="1330325"/>
                  <wp:effectExtent l="0" t="0" r="4445" b="10795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755" cy="1330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767B77">
            <w:pPr>
              <w:ind w:firstLine="420" w:firstLineChars="200"/>
              <w:rPr>
                <w:rFonts w:hint="cs"/>
              </w:rPr>
            </w:pPr>
            <w:r>
              <w:rPr>
                <w:rFonts w:hint="cs"/>
              </w:rPr>
              <w:t>1、打开电源，按“开始/暂停”键开始加热；</w:t>
            </w:r>
          </w:p>
          <w:p w14:paraId="423E9265">
            <w:pPr>
              <w:ind w:firstLine="420" w:firstLineChars="200"/>
              <w:rPr>
                <w:rFonts w:hint="cs"/>
              </w:rPr>
            </w:pPr>
            <w:r>
              <w:rPr>
                <w:rFonts w:hint="cs"/>
              </w:rPr>
              <w:t>2、调节“加热电压”旋钮至电压为18.00V；</w:t>
            </w:r>
          </w:p>
          <w:p w14:paraId="126CC7CF">
            <w:pPr>
              <w:ind w:firstLine="420" w:firstLineChars="200"/>
              <w:rPr>
                <w:rFonts w:hint="cs"/>
              </w:rPr>
            </w:pPr>
            <w:r>
              <w:rPr>
                <w:rFonts w:hint="cs"/>
              </w:rPr>
              <w:t>3、加热30分钟后按“开始/暂停”键停止加热；</w:t>
            </w:r>
          </w:p>
          <w:p w14:paraId="383ED211">
            <w:pPr>
              <w:ind w:firstLine="420" w:firstLineChars="200"/>
              <w:rPr>
                <w:rFonts w:hint="cs"/>
              </w:rPr>
            </w:pPr>
            <w:r>
              <w:rPr>
                <w:rFonts w:hint="cs"/>
              </w:rPr>
              <w:t>4、按上下翻按钮读取数据；</w:t>
            </w:r>
          </w:p>
          <w:p w14:paraId="62A397F4">
            <w:pPr>
              <w:ind w:firstLine="420" w:firstLineChars="200"/>
              <w:rPr>
                <w:rFonts w:hint="cs"/>
              </w:rPr>
            </w:pPr>
            <w:r>
              <w:rPr>
                <w:rFonts w:hint="cs"/>
              </w:rPr>
              <w:t>5、记下两个玻璃样品上的电阻值；</w:t>
            </w:r>
          </w:p>
          <w:p w14:paraId="1D2AD1DC">
            <w:pPr>
              <w:ind w:firstLine="420" w:firstLineChars="200"/>
              <w:rPr>
                <w:rFonts w:hint="cs"/>
              </w:rPr>
            </w:pPr>
            <w:r>
              <w:rPr>
                <w:rFonts w:hint="cs"/>
              </w:rPr>
              <w:t>6、关闭电源；</w:t>
            </w:r>
          </w:p>
          <w:p w14:paraId="2BD1F43F">
            <w:pPr>
              <w:ind w:firstLine="420" w:firstLineChars="200"/>
              <w:rPr>
                <w:rFonts w:hint="cs"/>
              </w:rPr>
            </w:pPr>
            <w:r>
              <w:rPr>
                <w:rFonts w:hint="cs"/>
              </w:rPr>
              <w:t>7、旋松玻璃样品让其散热；(不然会影响后面的老师上课！！）</w:t>
            </w:r>
          </w:p>
          <w:p w14:paraId="17D0949B">
            <w:pPr>
              <w:ind w:firstLine="420" w:firstLineChars="200"/>
              <w:rPr>
                <w:rFonts w:hint="cs"/>
              </w:rPr>
            </w:pPr>
            <w:r>
              <w:rPr>
                <w:rFonts w:hint="cs"/>
              </w:rPr>
              <w:t>8、拆下导线。</w:t>
            </w:r>
          </w:p>
          <w:p w14:paraId="541B8765">
            <w:pPr>
              <w:ind w:firstLine="420" w:firstLineChars="200"/>
              <w:rPr>
                <w:rFonts w:hint="cs"/>
              </w:rPr>
            </w:pPr>
          </w:p>
        </w:tc>
      </w:tr>
    </w:tbl>
    <w:p w14:paraId="76A429BD"/>
    <w:sectPr>
      <w:pgSz w:w="11906" w:h="16838"/>
      <w:pgMar w:top="1440" w:right="1083" w:bottom="1440" w:left="10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3203A1"/>
    <w:rsid w:val="3432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2026-06-17T04:53:00Z</dcterms:created>
  <dc:creator>吴淇钺</dc:creator>
  <cp:lastModifiedBy>吴淇钺</cp:lastModifiedBy>
  <dcterms:modified xsi:type="dcterms:W3CDTF">2026-06-17T04:54:41Z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106F91C3ED274EE2A9493E5DD087D5E9_11</vt:lpwstr>
  </property>
  <property fmtid="{D5CDD505-2E9C-101B-9397-08002B2CF9AE}" pid="4" name="KSOTemplateDocerSaveRecord">
    <vt:lpwstr>eyJoZGlkIjoiNTg0MzMyNGJiMDEzODc5ODNlMGVjODViOWRkZjg1MDgiLCJ1c2VySWQiOiIxNzQzMzMwNTUyIn0=</vt:lpwstr>
  </property>
</Properties>
</file>