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5479A"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762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681E4D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1800440078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nH+iLVAAAACQEAAA8AAAAAAAAAAQAgAAAAIgAAAGRycy9k&#10;b3ducmV2LnhtbFBLAQIUABQAAAAIAIdO4kC6W6VszAEAAIY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2681E4D"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>1800440078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6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 w14:paraId="2C9E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  <w:noWrap w:val="0"/>
            <w:vAlign w:val="top"/>
          </w:tcPr>
          <w:p w14:paraId="7931C5C9"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  <w:shd w:val="clear" w:color="auto" w:fill="auto"/>
            <w:noWrap w:val="0"/>
            <w:vAlign w:val="top"/>
          </w:tcPr>
          <w:p w14:paraId="16B44551"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54ABE89"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 w14:paraId="3CB9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  <w:shd w:val="clear" w:color="auto" w:fill="auto"/>
            <w:noWrap w:val="0"/>
            <w:vAlign w:val="top"/>
          </w:tcPr>
          <w:p w14:paraId="4CBC336B"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  <w:tc>
          <w:tcPr>
            <w:tcW w:w="1188" w:type="dxa"/>
            <w:shd w:val="clear" w:color="auto" w:fill="auto"/>
            <w:noWrap w:val="0"/>
            <w:vAlign w:val="top"/>
          </w:tcPr>
          <w:p w14:paraId="66A82839"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A40B38E"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</w:tr>
    </w:tbl>
    <w:p w14:paraId="6882886A">
      <w:pPr>
        <w:rPr>
          <w:rFonts w:hint="eastAsia" w:ascii="宋体"/>
          <w:b/>
          <w:sz w:val="44"/>
        </w:rPr>
      </w:pPr>
    </w:p>
    <w:p w14:paraId="3FC5BF99">
      <w:pPr>
        <w:jc w:val="center"/>
        <w:rPr>
          <w:rFonts w:hint="eastAsia"/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 w14:paraId="698CCC98">
      <w:pPr>
        <w:rPr>
          <w:rFonts w:hint="eastAsia"/>
          <w:b/>
          <w:sz w:val="28"/>
        </w:rPr>
      </w:pPr>
    </w:p>
    <w:p w14:paraId="3E87E217"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大学物理实验（一）         </w:t>
      </w:r>
    </w:p>
    <w:p w14:paraId="1B365464">
      <w:pPr>
        <w:spacing w:line="900" w:lineRule="auto"/>
        <w:ind w:firstLine="1079" w:firstLineChars="384"/>
        <w:jc w:val="left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等厚干涉          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3707CEC6"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371C6FB5"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 xml:space="preserve">       杜博文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69FE0E10"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  <w:lang w:val="en-US" w:eastAsia="zh-CN"/>
        </w:rPr>
        <w:t>吴淇钺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7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3448803F"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2025150058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实验地点：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211</w:t>
      </w:r>
      <w:r>
        <w:rPr>
          <w:rFonts w:hint="eastAsia"/>
          <w:b/>
          <w:sz w:val="28"/>
          <w:u w:val="single"/>
        </w:rPr>
        <w:t xml:space="preserve">  </w:t>
      </w:r>
    </w:p>
    <w:p w14:paraId="7B64BD64"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日 </w:t>
      </w:r>
    </w:p>
    <w:p w14:paraId="755AB5EF">
      <w:pPr>
        <w:spacing w:line="900" w:lineRule="auto"/>
        <w:ind w:left="899" w:firstLine="180" w:firstLineChars="64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                               </w:t>
      </w:r>
    </w:p>
    <w:p w14:paraId="0FFA38F7">
      <w:pPr>
        <w:rPr>
          <w:rFonts w:hint="eastAsia"/>
          <w:b/>
          <w:sz w:val="28"/>
          <w:szCs w:val="28"/>
          <w:u w:val="single"/>
        </w:rPr>
      </w:pPr>
    </w:p>
    <w:p w14:paraId="72328994">
      <w:pPr>
        <w:rPr>
          <w:rFonts w:hint="eastAsia"/>
          <w:b/>
          <w:sz w:val="28"/>
          <w:szCs w:val="28"/>
          <w:u w:val="single"/>
        </w:rPr>
      </w:pPr>
    </w:p>
    <w:p w14:paraId="21E94341">
      <w:pPr>
        <w:rPr>
          <w:rFonts w:hint="eastAsia"/>
          <w:b/>
          <w:sz w:val="28"/>
          <w:szCs w:val="28"/>
          <w:u w:val="single"/>
        </w:rPr>
      </w:pPr>
    </w:p>
    <w:p w14:paraId="05FE8523">
      <w:pPr>
        <w:rPr>
          <w:rFonts w:hint="eastAsia" w:eastAsia="宋体"/>
          <w:b/>
          <w:sz w:val="28"/>
          <w:szCs w:val="28"/>
          <w:u w:val="single"/>
          <w:lang w:eastAsia="zh-CN"/>
        </w:rPr>
      </w:pPr>
      <w:r>
        <w:rPr>
          <w:rFonts w:hint="eastAsia" w:eastAsia="宋体"/>
          <w:b/>
          <w:sz w:val="28"/>
          <w:szCs w:val="28"/>
          <w:u w:val="single"/>
          <w:lang w:eastAsia="zh-CN"/>
        </w:rPr>
        <w:drawing>
          <wp:inline distT="0" distB="0" distL="114300" distR="114300">
            <wp:extent cx="6176010" cy="8808085"/>
            <wp:effectExtent l="0" t="0" r="11430" b="635"/>
            <wp:docPr id="9" name="图片 9" descr="903789140116b84add443922d4348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03789140116b84add443922d4348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880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1021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8"/>
      </w:tblGrid>
      <w:tr w14:paraId="6CBD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0218" w:type="dxa"/>
            <w:noWrap w:val="0"/>
            <w:vAlign w:val="top"/>
          </w:tcPr>
          <w:p w14:paraId="50FEC8CF">
            <w:pPr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三、实验仪器：</w:t>
            </w:r>
          </w:p>
          <w:p w14:paraId="60197E03">
            <w:pPr>
              <w:ind w:firstLine="525" w:firstLineChars="250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读数显微镜</w:t>
            </w:r>
          </w:p>
          <w:p w14:paraId="6F002235">
            <w:pPr>
              <w:ind w:firstLine="525" w:firstLineChars="250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牛顿环装置</w:t>
            </w:r>
          </w:p>
          <w:p w14:paraId="47A0DC7C">
            <w:pPr>
              <w:ind w:firstLine="525" w:firstLineChars="250"/>
              <w:rPr>
                <w:rFonts w:hint="eastAsia" w:ascii="宋体" w:hAnsi="宋体" w:cs="宋体"/>
                <w:color w:val="000000"/>
                <w:sz w:val="21"/>
                <w:szCs w:val="21"/>
                <w:lang w:bidi="en-US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单色光源（钠光灯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en-US"/>
              </w:rPr>
              <w:t>）（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en-US" w:bidi="en-US"/>
              </w:rPr>
              <w:t>λ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en-US"/>
              </w:rPr>
              <w:t>=589</w:t>
            </w:r>
            <w:r>
              <w:rPr>
                <w:rFonts w:ascii="宋体" w:hAnsi="宋体" w:cs="宋体"/>
                <w:color w:val="000000"/>
                <w:sz w:val="21"/>
                <w:szCs w:val="21"/>
                <w:lang w:bidi="en-US"/>
              </w:rPr>
              <w:t>.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en-US"/>
              </w:rPr>
              <w:t xml:space="preserve">3 </w:t>
            </w:r>
            <w:r>
              <w:rPr>
                <w:rFonts w:ascii="宋体" w:hAnsi="宋体" w:cs="宋体"/>
                <w:color w:val="000000"/>
                <w:sz w:val="21"/>
                <w:szCs w:val="21"/>
                <w:lang w:bidi="en-US"/>
              </w:rPr>
              <w:t>nm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en-US"/>
              </w:rPr>
              <w:t>）</w:t>
            </w:r>
          </w:p>
          <w:p w14:paraId="0E743816">
            <w:pPr>
              <w:ind w:firstLine="525" w:firstLineChars="250"/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 w:bidi="en-US"/>
              </w:rPr>
              <w:t>4.稳压源</w:t>
            </w:r>
          </w:p>
          <w:p w14:paraId="60BC64A9">
            <w:pPr>
              <w:ind w:firstLine="525" w:firstLineChars="250"/>
              <w:jc w:val="center"/>
            </w:pPr>
            <w:r>
              <w:drawing>
                <wp:inline distT="0" distB="0" distL="114300" distR="114300">
                  <wp:extent cx="3368675" cy="1938655"/>
                  <wp:effectExtent l="0" t="0" r="14605" b="1206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675" cy="193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456A5">
            <w:pPr>
              <w:ind w:firstLine="525" w:firstLineChars="2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图3：实验仪器图</w:t>
            </w:r>
          </w:p>
        </w:tc>
      </w:tr>
      <w:tr w14:paraId="7A64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0218" w:type="dxa"/>
            <w:noWrap w:val="0"/>
            <w:vAlign w:val="top"/>
          </w:tcPr>
          <w:p w14:paraId="4DB1628C">
            <w:pPr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四、实验内容：</w:t>
            </w:r>
          </w:p>
          <w:p w14:paraId="51F8F4AC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调整仪器：</w:t>
            </w:r>
          </w:p>
          <w:p w14:paraId="249BE09B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a.调节牛顿环装置金属框上的螺丝，使平凸透镜自然地放在平板玻璃上。</w:t>
            </w:r>
          </w:p>
          <w:p w14:paraId="2DC391EF">
            <w:pPr>
              <w:ind w:left="420" w:left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调整4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°反射平面玻璃及读数显微镜的位置，使入射光近乎垂直入射，并使钠黄光充满整个视场</w:t>
            </w:r>
            <w:r>
              <w:rPr>
                <w:rFonts w:hint="eastAsia" w:eastAsia="黑体"/>
                <w:sz w:val="24"/>
              </w:rPr>
              <w:t>。</w:t>
            </w:r>
            <w:r>
              <w:rPr>
                <w:rFonts w:hint="eastAsia" w:ascii="宋体" w:hAnsi="宋体"/>
                <w:szCs w:val="21"/>
              </w:rPr>
              <w:t>c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调节目镜，使十字叉丝清晰(消除视差)；显微镜调焦，看清干涉条纹，摇动测微鼓轮，使叉丝交点大致在牛顿环环心位置。</w:t>
            </w:r>
          </w:p>
          <w:p w14:paraId="4E589CB4">
            <w:pPr>
              <w:ind w:left="420" w:leftChars="200"/>
              <w:rPr>
                <w:rFonts w:hint="eastAsia" w:eastAsia="黑体"/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观察待测各环，其左右、上下是否清晰、光强均匀。</w:t>
            </w:r>
          </w:p>
          <w:p w14:paraId="543AD986">
            <w:pPr>
              <w:jc w:val="center"/>
            </w:pPr>
            <w:r>
              <w:drawing>
                <wp:inline distT="0" distB="0" distL="114300" distR="114300">
                  <wp:extent cx="2011680" cy="2098675"/>
                  <wp:effectExtent l="0" t="0" r="0" b="4445"/>
                  <wp:docPr id="7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937CC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图4：牛顿环干涉光路图</w:t>
            </w:r>
          </w:p>
          <w:p w14:paraId="562AAE43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测量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平面凸透镜的曲率半径</w:t>
            </w:r>
            <w:r>
              <w:rPr>
                <w:rFonts w:hint="eastAsia" w:ascii="宋体" w:hAnsi="宋体"/>
                <w:szCs w:val="21"/>
              </w:rPr>
              <w:t>：</w:t>
            </w:r>
          </w:p>
          <w:p w14:paraId="1BDB69AA">
            <w:pPr>
              <w:jc w:val="left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lang w:val="en-US" w:eastAsia="zh-CN"/>
              </w:rPr>
              <w:t>1)调节目镜镜筒，使一根十字又丝与显微镜移动方向垂直，另一根和显微镜移动方向一致;</w:t>
            </w:r>
          </w:p>
          <w:p w14:paraId="55F40D4D">
            <w:pPr>
              <w:ind w:left="840" w:hanging="840" w:hangingChars="400"/>
              <w:jc w:val="left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     2)旋转显微镜测微鼓轮，使十字叉丝由牛顿环中央缓慢移动到一侧，然后自此开始，单方向移动，依次测出显微镜十字又丝与各条纹相切的位置读数</w:t>
            </w:r>
            <m:oMath>
              <m:sSub>
                <m:sSubP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24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1"/>
                  <w:szCs w:val="24"/>
                  <w:lang w:val="en-US" w:eastAsia="zh-CN" w:bidi="ar-SA"/>
                </w:rPr>
                <m:t>, </m:t>
              </m:r>
              <m:sSub>
                <m:sSubP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23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1"/>
                  <w:szCs w:val="24"/>
                  <w:lang w:val="en-US" w:eastAsia="zh-CN" w:bidi="ar-SA"/>
                </w:rPr>
                <m:t>,…,</m:t>
              </m:r>
              <m:sSub>
                <m:sSubP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5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 w:ascii="宋体" w:hAnsi="宋体" w:cs="宋体"/>
                <w:lang w:val="en-US" w:eastAsia="zh-CN"/>
              </w:rPr>
              <w:t>，继续越过中央暗斑，读取</w:t>
            </w:r>
            <m:oMath>
              <m:sSubSup>
                <m:sSubSupP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5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′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1"/>
                  <w:szCs w:val="24"/>
                  <w:lang w:val="en-US" w:eastAsia="zh-CN" w:bidi="ar-SA"/>
                </w:rPr>
                <m:t>,  </m:t>
              </m:r>
              <m:sSubSup>
                <m:sSubSupP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6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′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1"/>
                  <w:szCs w:val="24"/>
                  <w:lang w:val="en-US" w:eastAsia="zh-CN" w:bidi="ar-SA"/>
                </w:rPr>
                <m:t>,  </m:t>
              </m:r>
              <m:sSubSup>
                <m:sSubSupP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7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′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1"/>
                  <w:szCs w:val="24"/>
                  <w:lang w:val="en-US" w:eastAsia="zh-CN" w:bidi="ar-SA"/>
                </w:rPr>
                <m:t>, …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1"/>
                  <w:szCs w:val="24"/>
                  <w:lang w:val="en-US" w:eastAsia="zh-CN" w:bidi="ar-SA"/>
                </w:rPr>
                <m:t xml:space="preserve"> </m:t>
              </m:r>
              <m:sSubSup>
                <m:sSubSupP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24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  <m:t>′</m:t>
                  </m:r>
                  <m:ctrlPr>
                    <w:rPr>
                      <w:rFonts w:hint="eastAsia" w:ascii="Cambria Math" w:hAnsi="Cambria Math" w:cs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bSup>
            </m:oMath>
            <w:r>
              <w:rPr>
                <w:rFonts w:hint="eastAsia" w:hAnsi="Cambria Math" w:cs="宋体"/>
                <w:i w:val="0"/>
                <w:kern w:val="2"/>
                <w:sz w:val="21"/>
                <w:szCs w:val="24"/>
                <w:lang w:val="en-US" w:eastAsia="zh-CN" w:bidi="ar-SA"/>
              </w:rPr>
              <w:t>;</w:t>
            </w:r>
          </w:p>
          <w:p w14:paraId="15DE1AA5">
            <w:pPr>
              <w:jc w:val="center"/>
            </w:pPr>
            <w:r>
              <w:drawing>
                <wp:inline distT="0" distB="0" distL="114300" distR="114300">
                  <wp:extent cx="2590800" cy="2301240"/>
                  <wp:effectExtent l="0" t="0" r="0" b="0"/>
                  <wp:docPr id="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0CC7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图5：牛顿环等厚干涉图样和测量顺序</w:t>
            </w:r>
          </w:p>
          <w:p w14:paraId="2E6D3352">
            <w:pPr>
              <w:jc w:val="center"/>
              <w:rPr>
                <w:rFonts w:hint="eastAsia"/>
                <w:lang w:val="en-US" w:eastAsia="zh-CN"/>
              </w:rPr>
            </w:pPr>
          </w:p>
          <w:p w14:paraId="58C8ADE6">
            <w:pPr>
              <w:jc w:val="center"/>
              <w:rPr>
                <w:rFonts w:hint="eastAsia"/>
                <w:lang w:val="en-US" w:eastAsia="zh-CN"/>
              </w:rPr>
            </w:pPr>
          </w:p>
          <w:p w14:paraId="0CD77D06">
            <w:pPr>
              <w:jc w:val="center"/>
              <w:rPr>
                <w:rFonts w:hint="eastAsia"/>
                <w:lang w:val="en-US" w:eastAsia="zh-CN"/>
              </w:rPr>
            </w:pPr>
          </w:p>
          <w:p w14:paraId="071195C9">
            <w:pPr>
              <w:jc w:val="center"/>
              <w:rPr>
                <w:rFonts w:hint="eastAsia"/>
                <w:lang w:val="en-US" w:eastAsia="zh-CN"/>
              </w:rPr>
            </w:pPr>
          </w:p>
          <w:p w14:paraId="72C2F7E9">
            <w:pPr>
              <w:jc w:val="center"/>
              <w:rPr>
                <w:rFonts w:hint="eastAsia"/>
                <w:lang w:val="en-US" w:eastAsia="zh-CN"/>
              </w:rPr>
            </w:pPr>
          </w:p>
          <w:p w14:paraId="155EAF2B">
            <w:pPr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5A697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10218" w:type="dxa"/>
            <w:noWrap w:val="0"/>
            <w:vAlign w:val="top"/>
          </w:tcPr>
          <w:p w14:paraId="60F131D3">
            <w:pPr>
              <w:spacing w:line="360" w:lineRule="auto"/>
              <w:rPr>
                <w:rFonts w:hint="eastAsia" w:eastAsia="黑体"/>
                <w:sz w:val="24"/>
              </w:rPr>
            </w:pPr>
          </w:p>
          <w:p w14:paraId="576E3BA2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 w:eastAsia="黑体"/>
                <w:sz w:val="24"/>
              </w:rPr>
              <w:t>数据</w:t>
            </w:r>
            <w:r>
              <w:rPr>
                <w:rFonts w:hint="eastAsia" w:eastAsia="黑体"/>
                <w:sz w:val="24"/>
                <w:lang w:val="en-US" w:eastAsia="zh-CN"/>
              </w:rPr>
              <w:t>处理</w:t>
            </w:r>
            <w:r>
              <w:rPr>
                <w:rFonts w:hint="eastAsia"/>
                <w:sz w:val="24"/>
              </w:rPr>
              <w:t>：</w:t>
            </w:r>
          </w:p>
          <w:p w14:paraId="40148928">
            <w:pPr>
              <w:numPr>
                <w:numId w:val="0"/>
              </w:numPr>
              <w:spacing w:line="36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6267450" cy="4401185"/>
                  <wp:effectExtent l="0" t="0" r="0" b="0"/>
                  <wp:docPr id="4" name="图片 4" descr="26eefa67fb64bb1c699b1aeb4fff7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6eefa67fb64bb1c699b1aeb4fff778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b="50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440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F6C57">
            <w:pPr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bCs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u w:val="single"/>
                <w:lang w:val="en-US" w:eastAsia="zh-CN"/>
              </w:rPr>
              <w:t>整理后的数据如下</w:t>
            </w:r>
          </w:p>
          <w:p w14:paraId="18D701A8">
            <w:pPr>
              <w:spacing w:line="360" w:lineRule="auto"/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single"/>
                <w:lang w:val="el-GR"/>
              </w:rPr>
              <w:t>λ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u w:val="single"/>
              </w:rPr>
              <w:t>＝589.3nm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none"/>
                <w:lang w:val="en-US" w:eastAsia="zh-CN"/>
              </w:rPr>
              <w:t>原数据在附页）</w:t>
            </w:r>
          </w:p>
          <w:tbl>
            <w:tblPr>
              <w:tblW w:w="10202" w:type="dxa"/>
              <w:tblInd w:w="-11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7"/>
              <w:gridCol w:w="941"/>
              <w:gridCol w:w="859"/>
              <w:gridCol w:w="858"/>
              <w:gridCol w:w="828"/>
              <w:gridCol w:w="828"/>
              <w:gridCol w:w="869"/>
              <w:gridCol w:w="869"/>
              <w:gridCol w:w="868"/>
              <w:gridCol w:w="880"/>
              <w:gridCol w:w="838"/>
              <w:gridCol w:w="807"/>
            </w:tblGrid>
            <w:tr w14:paraId="18F667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96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C6A509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环的级数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082EAC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m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396BB4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24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4EC24A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23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BED0F9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22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C1A4E5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21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B45C9E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20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688202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19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5DA828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18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F978FD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17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EAC236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16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8FC0FA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15</w:t>
                  </w:r>
                </w:p>
              </w:tc>
            </w:tr>
            <w:tr w14:paraId="241EEB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34" w:hRule="atLeast"/>
              </w:trPr>
              <w:tc>
                <w:tcPr>
                  <w:tcW w:w="757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10A4E0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环的位置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488EFD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右侧(mm)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0A3192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28.716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AE0DB3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28.885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E13A06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28.995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133B1E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29.088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997596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29.198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DB6AB6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29.298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F53040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29.409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73ECA3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29.486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43897B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29.638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C4CA36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29.756</w:t>
                  </w:r>
                </w:p>
              </w:tc>
            </w:tr>
            <w:tr w14:paraId="520DF0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144" w:hRule="atLeast"/>
              </w:trPr>
              <w:tc>
                <w:tcPr>
                  <w:tcW w:w="757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6CD6D5A">
                  <w:pPr>
                    <w:rPr>
                      <w:rFonts w:hint="eastAsia" w:ascii="宋体"/>
                      <w:sz w:val="22"/>
                      <w:szCs w:val="22"/>
                    </w:rPr>
                  </w:pP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811E38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左侧(mm)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384C89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38.070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C70739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37.980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32D503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37.875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A9E92C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37.773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2977FC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37.675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8620B1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37.571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3226C1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37.460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345C14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37.326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AC48E8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37.226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62DAD5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37.118</w:t>
                  </w:r>
                </w:p>
              </w:tc>
            </w:tr>
            <w:tr w14:paraId="26934F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67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CEC51D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环的直径Dm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ADBCC3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(mm)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6DE606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9.354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C56161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9.095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D82E32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8.880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546CDC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8.865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BB4AD9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8.477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9742E4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8.273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12F0D2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8.051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29C616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7.840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341486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7.588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C09624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7.362</w:t>
                  </w:r>
                </w:p>
              </w:tc>
            </w:tr>
            <w:tr w14:paraId="542A5D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856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2E1D50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Dm</w:t>
                  </w:r>
                  <w:r>
                    <w:rPr>
                      <w:rFonts w:hint="eastAsia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^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74D175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(mm</w:t>
                  </w:r>
                  <w:r>
                    <w:rPr>
                      <w:rFonts w:hint="eastAsia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^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2 )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6DCF44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87.497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0E9F91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82.719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13A30E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78.754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0C1979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75.429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ECA9A7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71.860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1BB7A9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68.443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9FF5B1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64.819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E0B88A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61.466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42D6AE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57.578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00C0D4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54.199</w:t>
                  </w:r>
                </w:p>
              </w:tc>
            </w:tr>
            <w:tr w14:paraId="12FCA3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26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B7585F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环的级数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DED0C6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n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D249A6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14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741211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13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168E3B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12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8D81EF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11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9FC79C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10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425BC1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9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529E07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8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B1B4C0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7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536E4F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6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E028F0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5</w:t>
                  </w:r>
                </w:p>
              </w:tc>
            </w:tr>
            <w:tr w14:paraId="313CE0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72" w:hRule="atLeast"/>
              </w:trPr>
              <w:tc>
                <w:tcPr>
                  <w:tcW w:w="757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3D0E25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环的位置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B39DAA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右侧(mm)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A9DB81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29.884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55DB86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30.012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C26F67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30.142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1E16FE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30.241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77ED5E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30.426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50B844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30.579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C9704C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30.740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17CE15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30.909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03FA11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31.079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D88FCF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31.224</w:t>
                  </w:r>
                </w:p>
              </w:tc>
            </w:tr>
            <w:tr w14:paraId="187503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81" w:hRule="atLeast"/>
              </w:trPr>
              <w:tc>
                <w:tcPr>
                  <w:tcW w:w="757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D5B1206">
                  <w:pPr>
                    <w:rPr>
                      <w:rFonts w:hint="eastAsia" w:ascii="宋体"/>
                      <w:sz w:val="22"/>
                      <w:szCs w:val="22"/>
                    </w:rPr>
                  </w:pP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E3C8CD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左侧(mm)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E1B0F9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36.981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7C2B93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36.838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17AA9D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36.710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24064D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36.584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26184E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36.423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C768E9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36.291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0AB0BE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36.125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266673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35.958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88ED65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35.779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4B68E3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35.566</w:t>
                  </w:r>
                </w:p>
              </w:tc>
            </w:tr>
            <w:tr w14:paraId="61BA30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194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210197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环的直径Dn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70ADE7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(mm)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CBE9D3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7.097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FC3A08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6.826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0A89DA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6.568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7F1E79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6.343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41C54C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5.997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22669C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5.712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DCD15B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5.385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353A44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5.049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1A540F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4.700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3A3102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4.342</w:t>
                  </w:r>
                </w:p>
              </w:tc>
            </w:tr>
            <w:tr w14:paraId="12D909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7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724381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Dn</w:t>
                  </w:r>
                  <w:r>
                    <w:rPr>
                      <w:rFonts w:hint="eastAsia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^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DE7088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(mm</w:t>
                  </w:r>
                  <w:r>
                    <w:rPr>
                      <w:rFonts w:hint="eastAsia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^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2 )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0E7789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50.367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DC553F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46.594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A8E70B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43.139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C15C6B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40.324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CDEDF9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35.964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4F1A5E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32.627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B12E89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29.000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CCFB7C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25.492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7AB0D7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22.090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5AD30A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18.853</w:t>
                  </w:r>
                </w:p>
              </w:tc>
            </w:tr>
            <w:tr w14:paraId="4BB6FC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89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EB8EDA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Dm</w:t>
                  </w:r>
                  <w:r>
                    <w:rPr>
                      <w:rFonts w:hint="eastAsia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^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2-Dn</w:t>
                  </w:r>
                  <w:r>
                    <w:rPr>
                      <w:rFonts w:hint="eastAsia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^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04035C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(mm</w:t>
                  </w:r>
                  <w:r>
                    <w:rPr>
                      <w:rFonts w:hint="eastAsia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^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2 )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9E9CDE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37.130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D4EB2A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36.125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0D5076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35.615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BE2BCE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35.195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8F614A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35.896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A00C0D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35.816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581587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35.819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CCCC14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35.974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476DEC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35.488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7D52C3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35.346</w:t>
                  </w:r>
                </w:p>
              </w:tc>
            </w:tr>
            <w:tr w14:paraId="153E7D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83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368FBC9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left"/>
                    <w:rPr>
                      <w:sz w:val="22"/>
                      <w:szCs w:val="22"/>
                    </w:rPr>
                  </w:pPr>
                  <w:r>
                    <w:drawing>
                      <wp:inline distT="0" distB="0" distL="114300" distR="114300">
                        <wp:extent cx="415925" cy="220345"/>
                        <wp:effectExtent l="0" t="0" r="10795" b="8255"/>
                        <wp:docPr id="8" name="图片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图片 1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5925" cy="2203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43CB827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(m</w:t>
                  </w:r>
                  <w:r>
                    <w:rPr>
                      <w:rFonts w:hint="eastAsia" w:ascii="宋体" w:hAnsi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m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CCBF19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1576.6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C53486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1534.4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491221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1512.9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6EE666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1475.0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F2B869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both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1523.2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BFF0C4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1526.5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6664093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1526.6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A3319E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1533.1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F8C635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1506.1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EF10CD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2399.1</w:t>
                  </w:r>
                </w:p>
              </w:tc>
            </w:tr>
            <w:tr w14:paraId="68FB24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60" w:hRule="atLeast"/>
              </w:trPr>
              <w:tc>
                <w:tcPr>
                  <w:tcW w:w="7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E25A1B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ind w:left="0" w:leftChars="0" w:right="0" w:rightChars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△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8"/>
                      <w:szCs w:val="28"/>
                    </w:rPr>
                    <w:t>R</w:t>
                  </w:r>
                </w:p>
              </w:tc>
              <w:tc>
                <w:tcPr>
                  <w:tcW w:w="9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AED957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(m</w:t>
                  </w:r>
                  <w:r>
                    <w:rPr>
                      <w:rFonts w:hint="eastAsia" w:ascii="宋体" w:hAnsi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  <w:lang w:val="en-US" w:eastAsia="zh-CN"/>
                    </w:rPr>
                    <w:t>m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 w:val="24"/>
                      <w:szCs w:val="24"/>
                      <w:bdr w:val="none" w:color="auto" w:sz="0" w:space="0"/>
                    </w:rPr>
                    <w:t>)</w:t>
                  </w:r>
                </w:p>
              </w:tc>
              <w:tc>
                <w:tcPr>
                  <w:tcW w:w="8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3511958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0.181</w:t>
                  </w:r>
                </w:p>
              </w:tc>
              <w:tc>
                <w:tcPr>
                  <w:tcW w:w="8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425C17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0.158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55C833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0.124</w:t>
                  </w:r>
                </w:p>
              </w:tc>
              <w:tc>
                <w:tcPr>
                  <w:tcW w:w="8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A99B68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0.093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DAEC3D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0.029</w:t>
                  </w:r>
                </w:p>
              </w:tc>
              <w:tc>
                <w:tcPr>
                  <w:tcW w:w="86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22AD265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0.007</w:t>
                  </w:r>
                </w:p>
              </w:tc>
              <w:tc>
                <w:tcPr>
                  <w:tcW w:w="8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15FD3AA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0.049</w:t>
                  </w:r>
                </w:p>
              </w:tc>
              <w:tc>
                <w:tcPr>
                  <w:tcW w:w="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0917428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0.114</w:t>
                  </w:r>
                </w:p>
              </w:tc>
              <w:tc>
                <w:tcPr>
                  <w:tcW w:w="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7545AD0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0.168</w:t>
                  </w:r>
                </w:p>
              </w:tc>
              <w:tc>
                <w:tcPr>
                  <w:tcW w:w="8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tcMar>
                    <w:left w:w="108" w:type="dxa"/>
                    <w:right w:w="108" w:type="dxa"/>
                  </w:tcMar>
                  <w:vAlign w:val="center"/>
                </w:tcPr>
                <w:p w14:paraId="5BA9112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0.247</w:t>
                  </w:r>
                </w:p>
              </w:tc>
            </w:tr>
          </w:tbl>
          <w:p w14:paraId="7BE82A30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22F39B78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R=</w:t>
            </w:r>
            <w:r>
              <w:rPr>
                <w:rFonts w:hint="eastAsia" w:ascii="宋体" w:hAnsi="宋体" w:eastAsia="宋体" w:cs="宋体"/>
                <w:position w:val="-24"/>
                <w:sz w:val="21"/>
                <w:szCs w:val="21"/>
              </w:rPr>
              <w:object>
                <v:shape id="_x0000_i1038" o:spt="75" type="#_x0000_t75" style="height:48pt;width:31.2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25" r:id="rId1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= （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1.5766+1.5344+⋯+1.5001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222222"/>
                <w:spacing w:val="0"/>
                <w:sz w:val="1"/>
                <w:szCs w:val="1"/>
                <w:shd w:val="clear" w:fill="FFFFFF"/>
              </w:rPr>
              <w:t>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）/10=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1524.4mm</w:t>
            </w:r>
          </w:p>
          <w:p w14:paraId="7C253D49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56AB5BBE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Symbol" w:char="006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R=</w:t>
            </w:r>
            <w:r>
              <w:rPr>
                <w:rFonts w:hint="eastAsia" w:ascii="宋体" w:hAnsi="宋体" w:eastAsia="宋体" w:cs="宋体"/>
                <w:position w:val="-24"/>
                <w:sz w:val="21"/>
                <w:szCs w:val="21"/>
              </w:rPr>
              <w:object>
                <v:shape id="_x0000_i1039" o:spt="75" type="#_x0000_t75" style="height:48pt;width:40.2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26" r:id="rId1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=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8.5mm</w:t>
            </w:r>
          </w:p>
          <w:p w14:paraId="0F969F70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59A15E7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误差分析计算：</w:t>
            </w:r>
          </w:p>
          <w:p w14:paraId="7C66822D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R=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Symbol" w:char="006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R±Δ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Symbol" w:char="006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R=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1524.4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±</w:t>
            </w:r>
            <w:r>
              <w:rPr>
                <w:rFonts w:hint="eastAsia" w:cs="Times New Roman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  <w:lang w:val="en-US" w:eastAsia="zh-CN"/>
              </w:rPr>
              <w:t>8,5mm</w:t>
            </w:r>
          </w:p>
          <w:p w14:paraId="1A7E6BC7">
            <w:pP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平面凸透镜的曲率半径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R = 1524.4mm</w:t>
            </w:r>
          </w:p>
          <w:p w14:paraId="0914539C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曲率半径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的不确定度Δ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Symbol" w:char="006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=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8.5mm</w:t>
            </w:r>
          </w:p>
          <w:p w14:paraId="2BCC2441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球面镜的曲率半径</w:t>
            </w:r>
            <w:r>
              <w:rPr>
                <w:rFonts w:hint="eastAsia" w:ascii="宋体" w:hAnsi="宋体" w:cs="宋体"/>
                <w:b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R=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Symbol" w:char="006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R±Δ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Symbol" w:char="006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R=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1524.4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±</w:t>
            </w:r>
            <w:r>
              <w:rPr>
                <w:rFonts w:hint="eastAsia" w:cs="Times New Roman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  <w:lang w:val="en-US" w:eastAsia="zh-CN"/>
              </w:rPr>
              <w:t>8,5mm</w:t>
            </w:r>
          </w:p>
          <w:p w14:paraId="0477AE3B">
            <w:pPr>
              <w:spacing w:line="360" w:lineRule="auto"/>
              <w:rPr>
                <w:rFonts w:hint="eastAsia" w:eastAsia="黑体"/>
                <w:sz w:val="24"/>
              </w:rPr>
            </w:pPr>
          </w:p>
        </w:tc>
      </w:tr>
      <w:tr w14:paraId="6193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0218" w:type="dxa"/>
            <w:noWrap w:val="0"/>
            <w:vAlign w:val="top"/>
          </w:tcPr>
          <w:p w14:paraId="4844B981">
            <w:pPr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七、</w:t>
            </w: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思考题</w:t>
            </w:r>
            <w:r>
              <w:rPr>
                <w:rFonts w:hint="eastAsia" w:ascii="黑体" w:eastAsia="黑体"/>
                <w:b/>
                <w:sz w:val="24"/>
              </w:rPr>
              <w:t>：</w:t>
            </w:r>
          </w:p>
          <w:p w14:paraId="0095115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试分析本次牛顿环实验误差的可能来源；</w:t>
            </w:r>
          </w:p>
          <w:p w14:paraId="382C1A49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牛顿环实验中容易产生故障及影响实验结果的因素很多。此处从读数显微镜，牛顿环和测量方法三个方面具体分析。</w:t>
            </w:r>
          </w:p>
          <w:p w14:paraId="379D41BF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从读数显微镜方面分析，</w:t>
            </w:r>
          </w:p>
          <w:p w14:paraId="4EC06B43">
            <w:pPr>
              <w:numPr>
                <w:ilvl w:val="0"/>
                <w:numId w:val="2"/>
              </w:num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目镜进灰或有污物，会造成读数显微镜视野内含糊不清，影响测量结果。</w:t>
            </w:r>
          </w:p>
          <w:p w14:paraId="4745C521">
            <w:pPr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（2）目镜的位置不当，使得观察时十字叉丝有重影。</w:t>
            </w:r>
          </w:p>
          <w:p w14:paraId="79739FE8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（3）透反镜没有和水平面成45度角，会造成平凸透镜上聚光不足，最终影响干涉现象呈现。</w:t>
            </w:r>
          </w:p>
          <w:p w14:paraId="5252E664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（4）显微镜零位不当导致的示值误差超差，主要是对准零位刻度时，测微鼓轮的零位没有对准指标线。</w:t>
            </w:r>
          </w:p>
          <w:p w14:paraId="201646EC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从牛顿环方面分析：</w:t>
            </w:r>
          </w:p>
          <w:p w14:paraId="7A112A78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（1）牛顿环的测量级数过低，会使得曲率半徑的测量结果误差偏高，因此牛顿环用以测量的级数应尽量取高级，研究表明，级数越高对应求得的曲率半径误差越小。</w:t>
            </w:r>
          </w:p>
          <w:p w14:paraId="56EAC950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2）牛顿环装置上方的三个调节螺丝过紧，则牛顿环中心的环心直径过大，直接导致曲率半径测量结果产生高误差。其原因是螺丝过紧，平凸透镜和平板玻璃之间产生形变。解决方法是将螺丝适当调松，保持牛顿环环心的合适大小。</w:t>
            </w:r>
          </w:p>
          <w:p w14:paraId="5B2E4200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（3）牛顿环环心过小，即平凸透镜和平板玻璃间隙过大，又可能有附加杂质在间隙中，还容易造成螺丝松动，牛顿环偏移，影响测量。</w:t>
            </w:r>
          </w:p>
          <w:p w14:paraId="0F9C1EB2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从测量方法方面分析：</w:t>
            </w:r>
          </w:p>
          <w:p w14:paraId="3D434C5A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（1）计算曲率半径是用随机的方法，任选一级不求平均值，容易造成很大偏差，解决方法是多测不同级数的暗环直径，代入利用逐差法求曲率半径。</w:t>
            </w:r>
          </w:p>
          <w:p w14:paraId="6420CDA5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（2）利用测微鼓轮测量直径时，反复转回测量，则易形成回程误差，解决方法是在整个测量过程中保持同一方向调节。</w:t>
            </w:r>
          </w:p>
          <w:p w14:paraId="3437DC32">
            <w:pPr>
              <w:ind w:firstLine="420" w:firstLineChars="20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以上原因都有可能引起牛顿环实验的实验误差，因此在实验过程中，必须严格按照操作规范和合理步骤完成。</w:t>
            </w:r>
          </w:p>
          <w:p w14:paraId="4F20E796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若测量某种透明液体光学介质的折射率，设计具体的实验装置，并分析需注意的事项，请简要概述。</w:t>
            </w:r>
          </w:p>
          <w:p w14:paraId="7CA88CEF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在进行厚干涉实验测量透明液体光学介质的折射率时，需要设计一个精密的实验装置，以下是具体的实验装置设计和需注意的事项：</w:t>
            </w:r>
          </w:p>
          <w:p w14:paraId="74D9DDFA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# 实验装置设计：</w:t>
            </w:r>
          </w:p>
          <w:p w14:paraId="3E07B3BA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光源：使用单色光源，如激光器或钠光灯，确保光的单色性和稳定性。</w:t>
            </w:r>
          </w:p>
          <w:p w14:paraId="75042C80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分束器：将光分成两束，一束通过空气，另一束通过待测透明液体介质。</w:t>
            </w:r>
          </w:p>
          <w:p w14:paraId="6E655505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厚干涉装置：包括平行光管、平面玻璃片和待测液体介质，构成厚干涉环。平面玻璃片表面需光滑平整，以确保光的反射和折射充分。</w:t>
            </w:r>
          </w:p>
          <w:p w14:paraId="44299583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4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目镜：用于观察厚干涉环的形成及其变化。</w:t>
            </w:r>
          </w:p>
          <w:p w14:paraId="53A8F6B5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5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测量仪器：可选用显微镜或干涉仪，用于测量干涉环的直径或者进行干涉条纹的观察和记录。</w:t>
            </w:r>
          </w:p>
          <w:p w14:paraId="11B72DDD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# 实验步骤：</w:t>
            </w:r>
          </w:p>
          <w:p w14:paraId="07FCCE74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将光源放置在合适的位置，使光线垂直射入分束器。</w:t>
            </w:r>
          </w:p>
          <w:p w14:paraId="4501751E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使用分束器将光分成两束，其中一束通过空气，另一束通过待测透明液体介质。</w:t>
            </w:r>
          </w:p>
          <w:p w14:paraId="08CEE2F6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调整厚干涉装置，确保光线通过平面玻璃片和液体介质形成明显的干涉环。</w:t>
            </w:r>
          </w:p>
          <w:p w14:paraId="49C1C221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4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使用目镜观察干涉环的形成，并记录干涉环的直径或干涉条纹的变化。</w:t>
            </w:r>
          </w:p>
          <w:p w14:paraId="0E5C9E17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5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根据厚干涉环的特征参数，如直径或条纹间距，结合光的波长等信息，计算透明液体介质的折射率。</w:t>
            </w:r>
          </w:p>
          <w:p w14:paraId="3BDAF5BE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# 注意事项：</w:t>
            </w:r>
          </w:p>
          <w:p w14:paraId="4352C153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实验环境：保持实验室环境稳定，避免温度和湿度对实验结果的影响。</w:t>
            </w:r>
          </w:p>
          <w:p w14:paraId="764EDD3E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光源稳定性：使用稳定的光源，并避免光源的波动对实验结果的干扰。</w:t>
            </w:r>
          </w:p>
          <w:p w14:paraId="5E2EF119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光路调整：精确调整光路，确保光线垂直射入分束器，以获得清晰的干涉环。</w:t>
            </w:r>
          </w:p>
          <w:p w14:paraId="678FC712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4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液体介质：选择透明度高、纯净度高的液体介质，并在实验前确保其表面光滑无气泡。</w:t>
            </w:r>
          </w:p>
          <w:p w14:paraId="7F58B1AD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5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数据记录：准确记录干涉环的直径或条纹间距，并进行多次重复实验以提高数据的可靠性和准确性。</w:t>
            </w:r>
          </w:p>
          <w:p w14:paraId="448129BA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6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 安全注意：注意实验中的安全问题，避免光源和化学试剂对人身和设备造成伤害。</w:t>
            </w:r>
          </w:p>
          <w:p w14:paraId="418EACB2"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综上所述，通过精心设计实验装置、严格控制实验步骤和注意事项，可以准确测量透明液体光学介质的折射率，并获得可靠的实验结果。</w:t>
            </w:r>
          </w:p>
          <w:p w14:paraId="20896625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  <w:p w14:paraId="2AF5610F">
            <w:pPr>
              <w:rPr>
                <w:rFonts w:hint="eastAsia" w:ascii="黑体" w:eastAsia="黑体"/>
                <w:b/>
                <w:sz w:val="24"/>
              </w:rPr>
            </w:pPr>
          </w:p>
        </w:tc>
      </w:tr>
      <w:tr w14:paraId="29C63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10218" w:type="dxa"/>
            <w:noWrap w:val="0"/>
            <w:vAlign w:val="top"/>
          </w:tcPr>
          <w:p w14:paraId="2332028F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20BD6BAE">
            <w:pPr>
              <w:ind w:firstLine="312" w:firstLineChars="149"/>
              <w:rPr>
                <w:rFonts w:hint="eastAsia" w:ascii="黑体" w:eastAsia="黑体"/>
                <w:color w:val="FF0000"/>
                <w:szCs w:val="21"/>
              </w:rPr>
            </w:pPr>
          </w:p>
          <w:p w14:paraId="20CDD8AB">
            <w:pPr>
              <w:ind w:firstLine="312" w:firstLineChars="149"/>
              <w:rPr>
                <w:rFonts w:hint="eastAsia" w:ascii="黑体" w:eastAsia="黑体"/>
                <w:color w:val="FF0000"/>
                <w:szCs w:val="21"/>
              </w:rPr>
            </w:pPr>
          </w:p>
          <w:p w14:paraId="1B898AB4">
            <w:pPr>
              <w:ind w:firstLine="312" w:firstLineChars="149"/>
              <w:rPr>
                <w:rFonts w:hint="eastAsia" w:ascii="黑体" w:eastAsia="黑体"/>
                <w:color w:val="FF0000"/>
                <w:szCs w:val="21"/>
              </w:rPr>
            </w:pPr>
          </w:p>
        </w:tc>
      </w:tr>
      <w:tr w14:paraId="00D0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2" w:hRule="atLeast"/>
        </w:trPr>
        <w:tc>
          <w:tcPr>
            <w:tcW w:w="10218" w:type="dxa"/>
            <w:noWrap w:val="0"/>
            <w:vAlign w:val="top"/>
          </w:tcPr>
          <w:p w14:paraId="2CFE92B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成绩评定：                                                                                        </w:t>
            </w:r>
          </w:p>
          <w:tbl>
            <w:tblPr>
              <w:tblStyle w:val="6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14:paraId="2EA57D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5" w:hRule="atLeast"/>
              </w:trPr>
              <w:tc>
                <w:tcPr>
                  <w:tcW w:w="870" w:type="dxa"/>
                  <w:shd w:val="clear" w:color="auto" w:fill="auto"/>
                  <w:noWrap w:val="0"/>
                  <w:vAlign w:val="center"/>
                </w:tcPr>
                <w:p w14:paraId="16D6FC57"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0E5D92D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shd w:val="clear" w:color="auto" w:fill="auto"/>
                  <w:noWrap w:val="0"/>
                  <w:vAlign w:val="center"/>
                </w:tcPr>
                <w:p w14:paraId="3CE37B8C"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2A577839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13A861E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61842654">
                  <w:pPr>
                    <w:ind w:firstLine="180" w:firstLineChars="10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554B0BE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01765EA"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27F8B34A"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72C77BA"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4E9D9C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870" w:type="dxa"/>
                  <w:shd w:val="clear" w:color="auto" w:fill="auto"/>
                  <w:noWrap w:val="0"/>
                  <w:vAlign w:val="top"/>
                </w:tcPr>
                <w:p w14:paraId="28A165B0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shd w:val="clear" w:color="auto" w:fill="auto"/>
                  <w:noWrap w:val="0"/>
                  <w:vAlign w:val="top"/>
                </w:tcPr>
                <w:p w14:paraId="0C6A4313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shd w:val="clear" w:color="auto" w:fill="auto"/>
                  <w:noWrap w:val="0"/>
                  <w:vAlign w:val="top"/>
                </w:tcPr>
                <w:p w14:paraId="73B860DA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02FE2822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04CCCF4C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6E006508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</w:tr>
          </w:tbl>
          <w:p w14:paraId="5958BF80">
            <w:pPr>
              <w:rPr>
                <w:rFonts w:hint="eastAsia"/>
              </w:rPr>
            </w:pPr>
          </w:p>
        </w:tc>
      </w:tr>
    </w:tbl>
    <w:p w14:paraId="2C69DAE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188075" cy="4755515"/>
            <wp:effectExtent l="0" t="0" r="14605" b="14605"/>
            <wp:docPr id="10" name="图片 10" descr="9015fd9a6d5f678e9a1fbd1193dc7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015fd9a6d5f678e9a1fbd1193dc70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9ED2C">
    <w:pPr>
      <w:pStyle w:val="3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4</w:t>
    </w:r>
    <w:r>
      <w:rPr>
        <w:rStyle w:val="10"/>
      </w:rPr>
      <w:fldChar w:fldCharType="end"/>
    </w:r>
  </w:p>
  <w:p w14:paraId="33A02ADE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7F9F9">
    <w:pPr>
      <w:pStyle w:val="3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50A70963"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5F8ADC"/>
    <w:multiLevelType w:val="singleLevel"/>
    <w:tmpl w:val="205F8AD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8D12145"/>
    <w:multiLevelType w:val="singleLevel"/>
    <w:tmpl w:val="58D1214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047B4"/>
    <w:rsid w:val="000A1742"/>
    <w:rsid w:val="000E418E"/>
    <w:rsid w:val="00134E83"/>
    <w:rsid w:val="00165C88"/>
    <w:rsid w:val="001B4F9F"/>
    <w:rsid w:val="0021682A"/>
    <w:rsid w:val="002313E8"/>
    <w:rsid w:val="00270731"/>
    <w:rsid w:val="00271FA7"/>
    <w:rsid w:val="00277501"/>
    <w:rsid w:val="00277546"/>
    <w:rsid w:val="002B224B"/>
    <w:rsid w:val="002C26A7"/>
    <w:rsid w:val="00326D46"/>
    <w:rsid w:val="00364452"/>
    <w:rsid w:val="00365EC1"/>
    <w:rsid w:val="004140B1"/>
    <w:rsid w:val="00434606"/>
    <w:rsid w:val="00437EF7"/>
    <w:rsid w:val="004411B5"/>
    <w:rsid w:val="00453E3D"/>
    <w:rsid w:val="004B69BF"/>
    <w:rsid w:val="004C7097"/>
    <w:rsid w:val="004D6E2C"/>
    <w:rsid w:val="004F151D"/>
    <w:rsid w:val="0051323E"/>
    <w:rsid w:val="005323B5"/>
    <w:rsid w:val="005B397A"/>
    <w:rsid w:val="005D1BCD"/>
    <w:rsid w:val="006260F0"/>
    <w:rsid w:val="006B17CE"/>
    <w:rsid w:val="006E2A16"/>
    <w:rsid w:val="006E2F37"/>
    <w:rsid w:val="00725916"/>
    <w:rsid w:val="00773BAE"/>
    <w:rsid w:val="00774A7B"/>
    <w:rsid w:val="007D0CBE"/>
    <w:rsid w:val="007D6F6E"/>
    <w:rsid w:val="00826A76"/>
    <w:rsid w:val="00836142"/>
    <w:rsid w:val="008F6432"/>
    <w:rsid w:val="00943B1F"/>
    <w:rsid w:val="009822E3"/>
    <w:rsid w:val="009E759B"/>
    <w:rsid w:val="00A01717"/>
    <w:rsid w:val="00A31868"/>
    <w:rsid w:val="00AA144B"/>
    <w:rsid w:val="00B1130D"/>
    <w:rsid w:val="00B76F35"/>
    <w:rsid w:val="00BE3E2C"/>
    <w:rsid w:val="00C2006D"/>
    <w:rsid w:val="00C353B4"/>
    <w:rsid w:val="00C41617"/>
    <w:rsid w:val="00C52C6F"/>
    <w:rsid w:val="00CC4281"/>
    <w:rsid w:val="00CE16C1"/>
    <w:rsid w:val="00CF426C"/>
    <w:rsid w:val="00D439FD"/>
    <w:rsid w:val="00D95248"/>
    <w:rsid w:val="00D95676"/>
    <w:rsid w:val="00E02D9C"/>
    <w:rsid w:val="00E07627"/>
    <w:rsid w:val="00E4567F"/>
    <w:rsid w:val="00E543F9"/>
    <w:rsid w:val="00E96152"/>
    <w:rsid w:val="00E964FF"/>
    <w:rsid w:val="00F10EA1"/>
    <w:rsid w:val="00F270DF"/>
    <w:rsid w:val="00F4107F"/>
    <w:rsid w:val="030A1C2A"/>
    <w:rsid w:val="0519585A"/>
    <w:rsid w:val="0D265922"/>
    <w:rsid w:val="10F811C6"/>
    <w:rsid w:val="1A7E7CEB"/>
    <w:rsid w:val="1F3C7D96"/>
    <w:rsid w:val="30A5072E"/>
    <w:rsid w:val="313408EC"/>
    <w:rsid w:val="38E4283C"/>
    <w:rsid w:val="3DC42813"/>
    <w:rsid w:val="3EB75D13"/>
    <w:rsid w:val="40B93D70"/>
    <w:rsid w:val="418945EF"/>
    <w:rsid w:val="41A40141"/>
    <w:rsid w:val="63A15D31"/>
    <w:rsid w:val="6D2655C4"/>
    <w:rsid w:val="731C4D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link w:val="9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 Char"/>
    <w:basedOn w:val="1"/>
    <w:link w:val="8"/>
    <w:autoRedefine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styleId="10">
    <w:name w:val="page number"/>
    <w:basedOn w:val="8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wmf"/><Relationship Id="rId14" Type="http://schemas.openxmlformats.org/officeDocument/2006/relationships/oleObject" Target="embeddings/oleObject2.bin"/><Relationship Id="rId13" Type="http://schemas.openxmlformats.org/officeDocument/2006/relationships/image" Target="media/image7.wmf"/><Relationship Id="rId12" Type="http://schemas.openxmlformats.org/officeDocument/2006/relationships/oleObject" Target="embeddings/oleObject1.bin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1151</Words>
  <Characters>1999</Characters>
  <Lines>13</Lines>
  <Paragraphs>3</Paragraphs>
  <TotalTime>73</TotalTime>
  <ScaleCrop>false</ScaleCrop>
  <LinksUpToDate>false</LinksUpToDate>
  <CharactersWithSpaces>2238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2014-03-05T12:35:00Z</dcterms:created>
  <dc:creator>User</dc:creator>
  <cp:lastModifiedBy>吴淇钺</cp:lastModifiedBy>
  <cp:lastPrinted>2024-05-06T13:55:00Z</cp:lastPrinted>
  <dcterms:modified xsi:type="dcterms:W3CDTF">2026-05-20T10:05:16Z</dcterms:modified>
  <dc:title>得分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ED2F2F54644A4FD39BAA9FEBACAD6CE4_13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