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rFonts w:ascii="Aptos Display" w:hAnsi="Aptos Display"/>
          <w:b/>
          <w:i w:val="0"/>
          <w:color w:val="000000"/>
          <w:sz w:val="46"/>
        </w:rPr>
        <w:t>Guided Test Prep Web App Statement of Work</w:t>
      </w:r>
    </w:p>
    <w:p>
      <w:pPr>
        <w:spacing w:after="320"/>
      </w:pPr>
      <w:r>
        <w:rPr>
          <w:rFonts w:ascii="Aptos" w:hAnsi="Aptos"/>
          <w:b w:val="0"/>
          <w:i/>
          <w:color w:val="000000"/>
          <w:sz w:val="23"/>
        </w:rPr>
        <w:t>Technical scope, profile contract, milestones, and acceptance criteria</w:t>
      </w:r>
    </w:p>
    <w:p>
      <w:pPr>
        <w:keepLines/>
        <w:spacing w:before="0" w:after="200" w:line="269" w:lineRule="auto"/>
      </w:pPr>
      <w:r>
        <w:rPr>
          <w:rFonts w:ascii="Aptos" w:hAnsi="Aptos"/>
          <w:b w:val="0"/>
          <w:i w:val="0"/>
          <w:color w:val="000000"/>
          <w:sz w:val="21"/>
        </w:rPr>
        <w:t>This Statement of Work defines the first production build of a private web application for guided technical-test practice. The application is designed to help Amy practice the decision sequence of a problem: recognize the method, select the next equation or operation, bind the correct inputs, and understand why that step is needed. It intentionally automates routine calculation where arithmetic is not the learning objective.</w:t>
      </w:r>
    </w:p>
    <w:tbl>
      <w:tblPr>
        <w:tblStyle w:val="TableGrid"/>
        <w:tblW w:type="auto" w:w="0"/>
        <w:tblLayout w:type="fixed"/>
        <w:tblLook w:firstColumn="1" w:firstRow="1" w:lastColumn="0" w:lastRow="0" w:noHBand="0" w:noVBand="1" w:val="04A0"/>
      </w:tblPr>
      <w:tblGrid>
        <w:gridCol w:w="4997"/>
        <w:gridCol w:w="4997"/>
      </w:tblGrid>
      <w:tr>
        <w:trPr>
          <w:tblHeader w:val="true"/>
          <w:cantSplit/>
        </w:trPr>
        <w:tc>
          <w:tcPr>
            <w:tcW w:type="dxa" w:w="230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b/>
                <w:i w:val="0"/>
                <w:color w:val="FFFFFF"/>
                <w:sz w:val="19"/>
              </w:rPr>
              <w:t>Item</w:t>
            </w:r>
          </w:p>
        </w:tc>
        <w:tc>
          <w:tcPr>
            <w:tcW w:type="dxa" w:w="756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b/>
                <w:i w:val="0"/>
                <w:color w:val="FFFFFF"/>
                <w:sz w:val="19"/>
              </w:rPr>
              <w:t>Agreement</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Client</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[Client legal name]</w:t>
            </w:r>
          </w:p>
        </w:tc>
      </w:tr>
      <w:tr>
        <w:trPr>
          <w:cantSplit/>
        </w:trPr>
        <w:tc>
          <w:tcPr>
            <w:tcW w:type="dxa" w:w="2304"/>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Contractor</w:t>
            </w:r>
          </w:p>
        </w:tc>
        <w:tc>
          <w:tcPr>
            <w:tcW w:type="dxa" w:w="7560"/>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[Contractor legal name]</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Project</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Guided Test Prep Web App version one</w:t>
            </w:r>
          </w:p>
        </w:tc>
      </w:tr>
      <w:tr>
        <w:trPr>
          <w:cantSplit/>
        </w:trPr>
        <w:tc>
          <w:tcPr>
            <w:tcW w:type="dxa" w:w="2304"/>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Initial subject</w:t>
            </w:r>
          </w:p>
        </w:tc>
        <w:tc>
          <w:tcPr>
            <w:tcW w:type="dxa" w:w="7560"/>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UND ENGR 206 Circuits I, with generic profile support from day one</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Commercial model</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Fixed milestones with written change orders for out-of-scope work</w:t>
            </w:r>
          </w:p>
        </w:tc>
      </w:tr>
      <w:tr>
        <w:trPr>
          <w:cantSplit/>
        </w:trPr>
        <w:tc>
          <w:tcPr>
            <w:tcW w:type="dxa" w:w="2304"/>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Technical source of truth</w:t>
            </w:r>
          </w:p>
        </w:tc>
        <w:tc>
          <w:tcPr>
            <w:tcW w:type="dxa" w:w="7560"/>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Guided_Test_Prep_Engineer_Handoff_v0.1.md and the supplied TestProfile schema</w:t>
            </w:r>
          </w:p>
        </w:tc>
      </w:tr>
    </w:tbl>
    <w:p>
      <w:pPr>
        <w:spacing w:after="40"/>
      </w:pPr>
    </w:p>
    <w:p>
      <w:pPr>
        <w:pStyle w:val="Heading1"/>
        <w:keepNext/>
        <w:keepLines/>
        <w:spacing w:before="280" w:after="100"/>
      </w:pPr>
      <w:r>
        <w:rPr>
          <w:rFonts w:ascii="Aptos" w:hAnsi="Aptos"/>
          <w:b/>
          <w:color w:val="000000"/>
          <w:sz w:val="28"/>
        </w:rPr>
        <w:t>1 Product outcome</w:t>
      </w:r>
    </w:p>
    <w:p>
      <w:pPr>
        <w:keepLines/>
        <w:spacing w:before="0" w:after="140" w:line="269" w:lineRule="auto"/>
      </w:pPr>
      <w:r>
        <w:rPr>
          <w:rFonts w:ascii="Aptos" w:hAnsi="Aptos"/>
          <w:b w:val="0"/>
          <w:i w:val="0"/>
          <w:color w:val="000000"/>
          <w:sz w:val="21"/>
        </w:rPr>
        <w:t>The product is a profile-driven guided solver rather than a normal answer checker or generic chat tutor. A profile packages formulas, operations, problem templates, rendered visual data, solution dependencies, explanations, and assessment policy. The same runtime can later support calculus, physics, and other engineering subjects without replacing the core solver.</w:t>
      </w:r>
    </w:p>
    <w:p>
      <w:pPr>
        <w:pStyle w:val="ListBullet"/>
        <w:keepLines/>
        <w:spacing w:after="60" w:line="259" w:lineRule="auto"/>
      </w:pPr>
      <w:r>
        <w:rPr>
          <w:rFonts w:ascii="Aptos" w:hAnsi="Aptos"/>
          <w:b w:val="0"/>
          <w:i w:val="0"/>
          <w:color w:val="000000"/>
          <w:sz w:val="21"/>
        </w:rPr>
        <w:t>The learner sees a realistic prompt, formula sheet, givens, target, and rendered diagram.</w:t>
      </w:r>
    </w:p>
    <w:p>
      <w:pPr>
        <w:pStyle w:val="ListBullet"/>
        <w:keepLines/>
        <w:spacing w:after="60" w:line="259" w:lineRule="auto"/>
      </w:pPr>
      <w:r>
        <w:rPr>
          <w:rFonts w:ascii="Aptos" w:hAnsi="Aptos"/>
          <w:b w:val="0"/>
          <w:i w:val="0"/>
          <w:color w:val="000000"/>
          <w:sz w:val="21"/>
        </w:rPr>
        <w:t>She chooses a method or operation before the app performs any calculation.</w:t>
      </w:r>
    </w:p>
    <w:p>
      <w:pPr>
        <w:pStyle w:val="ListBullet"/>
        <w:keepLines/>
        <w:spacing w:after="60" w:line="259" w:lineRule="auto"/>
      </w:pPr>
      <w:r>
        <w:rPr>
          <w:rFonts w:ascii="Aptos" w:hAnsi="Aptos"/>
          <w:b w:val="0"/>
          <w:i w:val="0"/>
          <w:color w:val="000000"/>
          <w:sz w:val="21"/>
        </w:rPr>
        <w:t>For a formula step, she binds each operand to a given, prior result, diagram target, or permitted symbolic expression.</w:t>
      </w:r>
    </w:p>
    <w:p>
      <w:pPr>
        <w:pStyle w:val="ListBullet"/>
        <w:keepLines/>
        <w:spacing w:after="60" w:line="259" w:lineRule="auto"/>
      </w:pPr>
      <w:r>
        <w:rPr>
          <w:rFonts w:ascii="Aptos" w:hAnsi="Aptos"/>
          <w:b w:val="0"/>
          <w:i w:val="0"/>
          <w:color w:val="000000"/>
          <w:sz w:val="21"/>
        </w:rPr>
        <w:t>The server recomputes the result, validates the strategic step, and classifies the issue when it is not accepted.</w:t>
      </w:r>
    </w:p>
    <w:p>
      <w:pPr>
        <w:pStyle w:val="ListBullet"/>
        <w:keepLines/>
        <w:spacing w:after="60" w:line="259" w:lineRule="auto"/>
      </w:pPr>
      <w:r>
        <w:rPr>
          <w:rFonts w:ascii="Aptos" w:hAnsi="Aptos"/>
          <w:b w:val="0"/>
          <w:i w:val="0"/>
          <w:color w:val="000000"/>
          <w:sz w:val="21"/>
        </w:rPr>
        <w:t>The coach can nudge, explain the learner step, or reveal the approved solution one node at a time.</w:t>
      </w:r>
    </w:p>
    <w:p>
      <w:pPr>
        <w:pStyle w:val="Heading1"/>
        <w:keepNext/>
        <w:keepLines/>
        <w:spacing w:before="280" w:after="100"/>
      </w:pPr>
      <w:r>
        <w:rPr>
          <w:rFonts w:ascii="Aptos" w:hAnsi="Aptos"/>
          <w:b/>
          <w:color w:val="000000"/>
          <w:sz w:val="28"/>
        </w:rPr>
        <w:t>2 Learning model and student modes</w:t>
      </w:r>
    </w:p>
    <w:p>
      <w:pPr>
        <w:keepLines/>
        <w:spacing w:before="0" w:after="140" w:line="269" w:lineRule="auto"/>
      </w:pPr>
      <w:r>
        <w:rPr>
          <w:rFonts w:ascii="Aptos" w:hAnsi="Aptos"/>
          <w:b w:val="0"/>
          <w:i w:val="0"/>
          <w:color w:val="000000"/>
          <w:sz w:val="21"/>
        </w:rPr>
        <w:t>The app must preserve a recognition-first study method. A correct result is not enough: the session captures whether the learner selected the appropriate method, equation, inputs, dependency order, and final quantity. The review must show actual substitutions and calculations so she can identify the source of an error.</w:t>
      </w:r>
    </w:p>
    <w:tbl>
      <w:tblPr>
        <w:tblStyle w:val="TableGrid"/>
        <w:tblW w:type="auto" w:w="0"/>
        <w:tblLayout w:type="fixed"/>
        <w:tblLook w:firstColumn="1" w:firstRow="1" w:lastColumn="0" w:lastRow="0" w:noHBand="0" w:noVBand="1" w:val="04A0"/>
      </w:tblPr>
      <w:tblGrid>
        <w:gridCol w:w="4997"/>
        <w:gridCol w:w="4997"/>
      </w:tblGrid>
      <w:tr>
        <w:trPr>
          <w:tblHeader w:val="true"/>
          <w:cantSplit/>
        </w:trPr>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b/>
                <w:i w:val="0"/>
                <w:color w:val="FFFFFF"/>
                <w:sz w:val="19"/>
              </w:rPr>
              <w:t>Mode</w:t>
            </w:r>
          </w:p>
        </w:tc>
        <w:tc>
          <w:tcPr>
            <w:tcW w:type="dxa" w:w="792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b/>
                <w:i w:val="0"/>
                <w:color w:val="FFFFFF"/>
                <w:sz w:val="19"/>
              </w:rPr>
              <w:t>Behavior</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Learn</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Formula sheet and intermediate calculations visible. Coach available. Feedback immediately identifies the type of issue.</w:t>
            </w:r>
          </w:p>
        </w:tc>
      </w:tr>
      <w:tr>
        <w:trPr>
          <w:cantSplit/>
        </w:trPr>
        <w:tc>
          <w:tcPr>
            <w:tcW w:type="dxa" w:w="1944"/>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Practice</w:t>
            </w:r>
          </w:p>
        </w:tc>
        <w:tc>
          <w:tcPr>
            <w:tcW w:type="dxa" w:w="7920"/>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Formula sheet visible. Feedback can be limited until a problem is completed.</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Exam simulation</w:t>
            </w:r>
          </w:p>
        </w:tc>
        <w:tc>
          <w:tcPr>
            <w:tcW w:type="dxa" w:w="79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Profile controls formula-sheet visibility, intermediate output, and coach access. Results return after submission.</w:t>
            </w:r>
          </w:p>
        </w:tc>
      </w:tr>
    </w:tbl>
    <w:p>
      <w:pPr>
        <w:spacing w:after="40"/>
      </w:pPr>
    </w:p>
    <w:p>
      <w:pPr>
        <w:pStyle w:val="Heading1"/>
        <w:keepNext/>
        <w:keepLines/>
        <w:spacing w:before="280" w:after="100"/>
      </w:pPr>
      <w:r>
        <w:rPr>
          <w:rFonts w:ascii="Aptos" w:hAnsi="Aptos"/>
          <w:b/>
          <w:color w:val="000000"/>
          <w:sz w:val="28"/>
        </w:rPr>
        <w:t>3 Required student workflow</w:t>
      </w:r>
    </w:p>
    <w:p>
      <w:pPr>
        <w:keepLines/>
        <w:spacing w:before="0" w:after="140" w:line="269" w:lineRule="auto"/>
      </w:pPr>
      <w:r>
        <w:rPr>
          <w:rFonts w:ascii="Aptos" w:hAnsi="Aptos"/>
          <w:b w:val="0"/>
          <w:i w:val="0"/>
          <w:color w:val="000000"/>
          <w:sz w:val="21"/>
        </w:rPr>
        <w:t>The core screen must include a problem panel, formula sheet, work graph, Add Step drawer, and coach panel. The Add Step flow is required to be explicit and inspectable.</w:t>
      </w:r>
    </w:p>
    <w:tbl>
      <w:tblPr>
        <w:tblStyle w:val="TableGrid"/>
        <w:tblW w:type="auto" w:w="0"/>
        <w:tblLayout w:type="fixed"/>
        <w:tblLook w:firstColumn="1" w:firstRow="1" w:lastColumn="0" w:lastRow="0" w:noHBand="0" w:noVBand="1" w:val="04A0"/>
      </w:tblPr>
      <w:tblGrid>
        <w:gridCol w:w="4997"/>
        <w:gridCol w:w="4997"/>
      </w:tblGrid>
      <w:tr>
        <w:trPr>
          <w:tblHeader w:val="true"/>
          <w:cantSplit/>
        </w:trPr>
        <w:tc>
          <w:tcPr>
            <w:tcW w:type="dxa" w:w="69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b/>
                <w:i w:val="0"/>
                <w:color w:val="FFFFFF"/>
                <w:sz w:val="19"/>
              </w:rPr>
              <w:t>Step</w:t>
            </w:r>
          </w:p>
        </w:tc>
        <w:tc>
          <w:tcPr>
            <w:tcW w:type="dxa" w:w="917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b/>
                <w:i w:val="0"/>
                <w:color w:val="FFFFFF"/>
                <w:sz w:val="19"/>
              </w:rPr>
              <w:t>Required behavior</w:t>
            </w:r>
          </w:p>
        </w:tc>
      </w:tr>
      <w:tr>
        <w:trPr>
          <w:cantSplit/>
        </w:trP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1</w:t>
            </w:r>
          </w:p>
        </w:tc>
        <w:tc>
          <w:tcPr>
            <w:tcW w:type="dxa" w:w="91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Learner selects Add Step and chooses an action type.</w:t>
            </w:r>
          </w:p>
        </w:tc>
      </w:tr>
      <w:tr>
        <w:trPr>
          <w:cantSplit/>
        </w:trPr>
        <w:tc>
          <w:tcPr>
            <w:tcW w:type="dxa" w:w="691"/>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2</w:t>
            </w:r>
          </w:p>
        </w:tc>
        <w:tc>
          <w:tcPr>
            <w:tcW w:type="dxa" w:w="9172"/>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Learner chooses a permitted operation such as Choose Method, Apply Formula, KCL, KVL, Differentiate, Solve System, or Final Answer.</w:t>
            </w:r>
          </w:p>
        </w:tc>
      </w:tr>
      <w:tr>
        <w:trPr>
          <w:cantSplit/>
        </w:trP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3</w:t>
            </w:r>
          </w:p>
        </w:tc>
        <w:tc>
          <w:tcPr>
            <w:tcW w:type="dxa" w:w="91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Learner selects a formula or a diagram target where required.</w:t>
            </w:r>
          </w:p>
        </w:tc>
      </w:tr>
      <w:tr>
        <w:trPr>
          <w:cantSplit/>
        </w:trPr>
        <w:tc>
          <w:tcPr>
            <w:tcW w:type="dxa" w:w="691"/>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4</w:t>
            </w:r>
          </w:p>
        </w:tc>
        <w:tc>
          <w:tcPr>
            <w:tcW w:type="dxa" w:w="9172"/>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Learner binds input slots to visible givens, previous results, visual targets, or approved symbolic expressions.</w:t>
            </w:r>
          </w:p>
        </w:tc>
      </w:tr>
      <w:tr>
        <w:trPr>
          <w:cantSplit/>
        </w:trP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5</w:t>
            </w:r>
          </w:p>
        </w:tc>
        <w:tc>
          <w:tcPr>
            <w:tcW w:type="dxa" w:w="91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Server validates the operation, recomputes the result, and returns status plus concise feedback.</w:t>
            </w:r>
          </w:p>
        </w:tc>
      </w:tr>
      <w:tr>
        <w:trPr>
          <w:cantSplit/>
        </w:trPr>
        <w:tc>
          <w:tcPr>
            <w:tcW w:type="dxa" w:w="691"/>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6</w:t>
            </w:r>
          </w:p>
        </w:tc>
        <w:tc>
          <w:tcPr>
            <w:tcW w:type="dxa" w:w="9172"/>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The work graph records input provenance, output units, rationale, and current solution frontier.</w:t>
            </w:r>
          </w:p>
        </w:tc>
      </w:tr>
    </w:tbl>
    <w:p>
      <w:pPr>
        <w:spacing w:after="40"/>
      </w:pPr>
    </w:p>
    <w:p>
      <w:pPr>
        <w:pStyle w:val="Heading1"/>
        <w:keepNext/>
        <w:keepLines/>
        <w:spacing w:before="280" w:after="100"/>
      </w:pPr>
      <w:r>
        <w:rPr>
          <w:rFonts w:ascii="Aptos" w:hAnsi="Aptos"/>
          <w:b/>
          <w:color w:val="000000"/>
          <w:sz w:val="28"/>
        </w:rPr>
        <w:t>4 Visual and symbolic requirements</w:t>
      </w:r>
    </w:p>
    <w:p>
      <w:pPr>
        <w:keepLines/>
        <w:spacing w:before="0" w:after="140" w:line="269" w:lineRule="auto"/>
      </w:pPr>
      <w:r>
        <w:rPr>
          <w:rFonts w:ascii="Aptos" w:hAnsi="Aptos"/>
          <w:b w:val="0"/>
          <w:i w:val="0"/>
          <w:color w:val="000000"/>
          <w:sz w:val="21"/>
        </w:rPr>
        <w:t>All mathematical content is stored as text and LaTex. Runtime diagrams are structured data rather than screenshots. Circuit diagrams render from a topology graph so nodes, branches, loops, components, and polarities are selectable. A scene3d adapter renders small declarative three-dimensional problems using objects, vectors, coordinate frames, labels, and camera settings.</w:t>
      </w:r>
    </w:p>
    <w:tbl>
      <w:tblPr>
        <w:tblStyle w:val="TableGrid"/>
        <w:tblW w:type="auto" w:w="0"/>
        <w:tblLayout w:type="fixed"/>
        <w:tblLook w:firstColumn="1" w:firstRow="1" w:lastColumn="0" w:lastRow="0" w:noHBand="0" w:noVBand="1" w:val="04A0"/>
      </w:tblPr>
      <w:tblGrid>
        <w:gridCol w:w="4997"/>
        <w:gridCol w:w="4997"/>
      </w:tblGrid>
      <w:tr>
        <w:trPr>
          <w:tblHeader w:val="true"/>
          <w:cantSplit/>
        </w:trPr>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b/>
                <w:i w:val="0"/>
                <w:color w:val="FFFFFF"/>
                <w:sz w:val="19"/>
              </w:rPr>
              <w:t>Adapter</w:t>
            </w:r>
          </w:p>
        </w:tc>
        <w:tc>
          <w:tcPr>
            <w:tcW w:type="dxa" w:w="777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b/>
                <w:i w:val="0"/>
                <w:color w:val="FFFFFF"/>
                <w:sz w:val="19"/>
              </w:rPr>
              <w:t>Minimum scope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latex/v1</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LaTex expressions, labeled statements, and accessible fallback text.</w:t>
            </w:r>
          </w:p>
        </w:tc>
      </w:tr>
      <w:tr>
        <w:trPr>
          <w:cantSplit/>
        </w:trPr>
        <w:tc>
          <w:tcPr>
            <w:tcW w:type="dxa" w:w="2088"/>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circuit/v1</w:t>
            </w:r>
          </w:p>
        </w:tc>
        <w:tc>
          <w:tcPr>
            <w:tcW w:type="dxa" w:w="7776"/>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SVG circuit graph, node and component selection, topology checks, KCL and KVL actions, reduction and power support.</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graph2d/v1</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Axes, curves, vectors, labels, and selectable points or curve segments.</w:t>
            </w:r>
          </w:p>
        </w:tc>
      </w:tr>
      <w:tr>
        <w:trPr>
          <w:cantSplit/>
        </w:trPr>
        <w:tc>
          <w:tcPr>
            <w:tcW w:type="dxa" w:w="2088"/>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scene3d/v1</w:t>
            </w:r>
          </w:p>
        </w:tc>
        <w:tc>
          <w:tcPr>
            <w:tcW w:type="dxa" w:w="7776"/>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Declarative primitives, vectors, labels, preset camera, selection targets, and alt text. It is not a CAD or simulation tool.</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derivative/v1</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Profile-approved expression and variable selection, canonical derivative output, optional numeric evaluation, and node-level rationale.</w:t>
            </w:r>
          </w:p>
        </w:tc>
      </w:tr>
    </w:tbl>
    <w:p>
      <w:pPr>
        <w:spacing w:after="40"/>
      </w:pPr>
    </w:p>
    <w:p>
      <w:pPr>
        <w:pStyle w:val="Heading1"/>
        <w:keepNext/>
        <w:keepLines/>
        <w:spacing w:before="280" w:after="100"/>
      </w:pPr>
      <w:r>
        <w:rPr>
          <w:rFonts w:ascii="Aptos" w:hAnsi="Aptos"/>
          <w:b/>
          <w:color w:val="000000"/>
          <w:sz w:val="28"/>
        </w:rPr>
        <w:t>5 Profile data contract</w:t>
      </w:r>
    </w:p>
    <w:p>
      <w:pPr>
        <w:keepLines/>
        <w:spacing w:before="0" w:after="140" w:line="269" w:lineRule="auto"/>
      </w:pPr>
      <w:r>
        <w:rPr>
          <w:rFonts w:ascii="Aptos" w:hAnsi="Aptos"/>
          <w:b w:val="0"/>
          <w:i w:val="0"/>
          <w:color w:val="000000"/>
          <w:sz w:val="21"/>
        </w:rPr>
        <w:t>The canonical file API is a TestProfile JSON document with format identifier guided-test-profile/v1. Every extensible object uses a stable type discriminator and adapter version. Unknown types fail validation instead of silently losing behavior. The supplied JSON Schema and ENGR 206 sample profile are contractual technical attachments to this SOW.</w:t>
      </w:r>
    </w:p>
    <w:tbl>
      <w:tblPr>
        <w:tblStyle w:val="TableGrid"/>
        <w:tblW w:type="auto" w:w="0"/>
        <w:tblLayout w:type="fixed"/>
        <w:tblLook w:firstColumn="1" w:firstRow="1" w:lastColumn="0" w:lastRow="0" w:noHBand="0" w:noVBand="1" w:val="04A0"/>
      </w:tblPr>
      <w:tblGrid>
        <w:gridCol w:w="4997"/>
        <w:gridCol w:w="4997"/>
      </w:tblGrid>
      <w:tr>
        <w:trPr>
          <w:tblHeader w:val="true"/>
          <w:cantSplit/>
        </w:trPr>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b/>
                <w:i w:val="0"/>
                <w:color w:val="FFFFFF"/>
                <w:sz w:val="19"/>
              </w:rPr>
              <w:t>Entity</w:t>
            </w:r>
          </w:p>
        </w:tc>
        <w:tc>
          <w:tcPr>
            <w:tcW w:type="dxa" w:w="76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b/>
                <w:i w:val="0"/>
                <w:color w:val="FFFFFF"/>
                <w:sz w:val="19"/>
              </w:rPr>
              <w:t>Responsibility</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TestProfile</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Versioned package for a subject, formula sheet, policies, adapter requirements, and problem templates.</w:t>
            </w:r>
          </w:p>
        </w:tc>
      </w:tr>
      <w:tr>
        <w:trPr>
          <w:cantSplit/>
        </w:trPr>
        <w:tc>
          <w:tcPr>
            <w:tcW w:type="dxa" w:w="2232"/>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FormulaDefinition</w:t>
            </w:r>
          </w:p>
        </w:tc>
        <w:tc>
          <w:tcPr>
            <w:tcW w:type="dxa" w:w="7632"/>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LaTex formula card, typed input and output slots, safe evaluator, units, and recognition cues.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ProblemTemplate</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Seeded values, prompt, givens, target, visual spec, allowed operations, and solution graph.</w:t>
            </w:r>
          </w:p>
        </w:tc>
      </w:tr>
      <w:tr>
        <w:trPr>
          <w:cantSplit/>
        </w:trPr>
        <w:tc>
          <w:tcPr>
            <w:tcW w:type="dxa" w:w="2232"/>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SolutionGraph</w:t>
            </w:r>
          </w:p>
        </w:tc>
        <w:tc>
          <w:tcPr>
            <w:tcW w:type="dxa" w:w="7632"/>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DAG of strategic steps, including accepted alternatives and pedagogical copy.</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LearnerStep</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Operation choice, selected targets, bindings, server-computed outputs, and solver status.</w:t>
            </w:r>
          </w:p>
        </w:tc>
      </w:tr>
    </w:tbl>
    <w:p>
      <w:pPr>
        <w:spacing w:after="40"/>
      </w:pPr>
    </w:p>
    <w:tbl>
      <w:tblPr>
        <w:tblW w:type="auto" w:w="0"/>
        <w:tblLayout w:type="fixed"/>
        <w:tblLook w:firstColumn="1" w:firstRow="1" w:lastColumn="0" w:lastRow="0" w:noHBand="0" w:noVBand="1" w:val="04A0"/>
      </w:tblPr>
      <w:tblGrid>
        <w:gridCol w:w="9994"/>
      </w:tblGrid>
      <w:tr>
        <w:trPr>
          <w:cantSplit/>
        </w:trPr>
        <w:tc>
          <w:tcPr>
            <w:tcW w:type="dxa" w:w="9936"/>
            <w:shd w:fill="F7F7F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40" w:lineRule="auto"/>
            </w:pPr>
            <w:r>
              <w:rPr>
                <w:rFonts w:ascii="Courier New" w:hAnsi="Courier New"/>
                <w:b w:val="0"/>
                <w:i w:val="0"/>
                <w:color w:val="000000"/>
                <w:sz w:val="16"/>
              </w:rPr>
              <w:t>interface OperationAdapter&lt;TSpec, TStep&gt; {</w:t>
            </w:r>
            <w:r>
              <w:br/>
            </w:r>
            <w:r>
              <w:rPr>
                <w:rFonts w:ascii="Courier New" w:hAnsi="Courier New"/>
                <w:b w:val="0"/>
                <w:i w:val="0"/>
                <w:color w:val="000000"/>
                <w:sz w:val="16"/>
              </w:rPr>
              <w:t xml:space="preserve">  type: string;</w:t>
            </w:r>
            <w:r>
              <w:br/>
            </w:r>
            <w:r>
              <w:rPr>
                <w:rFonts w:ascii="Courier New" w:hAnsi="Courier New"/>
                <w:b w:val="0"/>
                <w:i w:val="0"/>
                <w:color w:val="000000"/>
                <w:sz w:val="16"/>
              </w:rPr>
              <w:t xml:space="preserve">  validateProfile(spec: TSpec): ValidationIssue[];</w:t>
            </w:r>
            <w:r>
              <w:br/>
            </w:r>
            <w:r>
              <w:rPr>
                <w:rFonts w:ascii="Courier New" w:hAnsi="Courier New"/>
                <w:b w:val="0"/>
                <w:i w:val="0"/>
                <w:color w:val="000000"/>
                <w:sz w:val="16"/>
              </w:rPr>
              <w:t xml:space="preserve">  evaluate(step: TStep, context: ProblemContext): EvaluationResult;</w:t>
            </w:r>
            <w:r>
              <w:br/>
            </w:r>
            <w:r>
              <w:rPr>
                <w:rFonts w:ascii="Courier New" w:hAnsi="Courier New"/>
                <w:b w:val="0"/>
                <w:i w:val="0"/>
                <w:color w:val="000000"/>
                <w:sz w:val="16"/>
              </w:rPr>
              <w:t xml:space="preserve">  match(step: TStep, node: SolutionNode): MatchResult;</w:t>
            </w:r>
            <w:r>
              <w:br/>
            </w:r>
            <w:r>
              <w:rPr>
                <w:rFonts w:ascii="Courier New" w:hAnsi="Courier New"/>
                <w:b w:val="0"/>
                <w:i w:val="0"/>
                <w:color w:val="000000"/>
                <w:sz w:val="16"/>
              </w:rPr>
              <w:t>}</w:t>
            </w:r>
            <w:r>
              <w:br/>
            </w:r>
            <w:r>
              <w:rPr>
                <w:rFonts w:ascii="Courier New" w:hAnsi="Courier New"/>
                <w:b w:val="0"/>
                <w:i w:val="0"/>
                <w:color w:val="000000"/>
                <w:sz w:val="16"/>
              </w:rPr>
            </w:r>
            <w:r>
              <w:br/>
            </w:r>
            <w:r>
              <w:rPr>
                <w:rFonts w:ascii="Courier New" w:hAnsi="Courier New"/>
                <w:b w:val="0"/>
                <w:i w:val="0"/>
                <w:color w:val="000000"/>
                <w:sz w:val="16"/>
              </w:rPr>
              <w:t>interface VisualAdapter&lt;TVisual&gt; {</w:t>
            </w:r>
            <w:r>
              <w:br/>
            </w:r>
            <w:r>
              <w:rPr>
                <w:rFonts w:ascii="Courier New" w:hAnsi="Courier New"/>
                <w:b w:val="0"/>
                <w:i w:val="0"/>
                <w:color w:val="000000"/>
                <w:sz w:val="16"/>
              </w:rPr>
              <w:t xml:space="preserve">  type: string;</w:t>
            </w:r>
            <w:r>
              <w:br/>
            </w:r>
            <w:r>
              <w:rPr>
                <w:rFonts w:ascii="Courier New" w:hAnsi="Courier New"/>
                <w:b w:val="0"/>
                <w:i w:val="0"/>
                <w:color w:val="000000"/>
                <w:sz w:val="16"/>
              </w:rPr>
              <w:t xml:space="preserve">  render(visual: TVisual): ReactElement;</w:t>
            </w:r>
            <w:r>
              <w:br/>
            </w:r>
            <w:r>
              <w:rPr>
                <w:rFonts w:ascii="Courier New" w:hAnsi="Courier New"/>
                <w:b w:val="0"/>
                <w:i w:val="0"/>
                <w:color w:val="000000"/>
                <w:sz w:val="16"/>
              </w:rPr>
              <w:t xml:space="preserve">  selectionTargets(visual: TVisual): SelectionTarget[];</w:t>
            </w:r>
            <w:r>
              <w:br/>
            </w:r>
            <w:r>
              <w:rPr>
                <w:rFonts w:ascii="Courier New" w:hAnsi="Courier New"/>
                <w:b w:val="0"/>
                <w:i w:val="0"/>
                <w:color w:val="000000"/>
                <w:sz w:val="16"/>
              </w:rPr>
              <w:t>}</w:t>
            </w:r>
          </w:p>
        </w:tc>
      </w:tr>
    </w:tbl>
    <w:p>
      <w:pPr>
        <w:spacing w:after="20"/>
      </w:pPr>
    </w:p>
    <w:p>
      <w:pPr>
        <w:pStyle w:val="Heading1"/>
        <w:keepNext/>
        <w:keepLines/>
        <w:spacing w:before="280" w:after="100"/>
      </w:pPr>
      <w:r>
        <w:rPr>
          <w:rFonts w:ascii="Aptos" w:hAnsi="Aptos"/>
          <w:b/>
          <w:color w:val="000000"/>
          <w:sz w:val="28"/>
        </w:rPr>
        <w:t>6 Solver, calculation, and coaching</w:t>
      </w:r>
    </w:p>
    <w:p>
      <w:pPr>
        <w:keepLines/>
        <w:spacing w:before="0" w:after="140" w:line="269" w:lineRule="auto"/>
      </w:pPr>
      <w:r>
        <w:rPr>
          <w:rFonts w:ascii="Aptos" w:hAnsi="Aptos"/>
          <w:b w:val="0"/>
          <w:i w:val="0"/>
          <w:color w:val="000000"/>
          <w:sz w:val="21"/>
        </w:rPr>
        <w:t>Profile content must not contain executable code. Formula expressions are parsed to a whitelisted abstract syntax tree during profile import. The server, not the browser, recomputes all math and validates every result. The solver must support exact numeric checks, tolerances, normalized symbolic equivalence, equation equivalence, accepted sets, and bounded alternate paths.</w:t>
      </w:r>
    </w:p>
    <w:p>
      <w:pPr>
        <w:keepLines/>
        <w:spacing w:before="0" w:after="140" w:line="269" w:lineRule="auto"/>
      </w:pPr>
      <w:r>
        <w:rPr>
          <w:rFonts w:ascii="Aptos" w:hAnsi="Aptos"/>
          <w:b w:val="0"/>
          <w:i w:val="0"/>
          <w:color w:val="000000"/>
          <w:sz w:val="21"/>
        </w:rPr>
        <w:t>The system must distinguish accepted progress, accepted alternative, valid but unneeded, valid but out of order, invalid operation, invalid binding, invalid units, incorrect result, and ambiguous requires review. It must not reduce all outcomes to a generic wrong label.</w:t>
      </w:r>
    </w:p>
    <w:p>
      <w:pPr>
        <w:keepLines/>
        <w:spacing w:before="0" w:after="140" w:line="269" w:lineRule="auto"/>
      </w:pPr>
      <w:r>
        <w:rPr>
          <w:rFonts w:ascii="Aptos" w:hAnsi="Aptos"/>
          <w:b w:val="0"/>
          <w:i w:val="0"/>
          <w:color w:val="000000"/>
          <w:sz w:val="21"/>
        </w:rPr>
        <w:t>Every solution node must carry why-now, what-to-notice, why-this-operation, inputs-meaning, next-dependency, and common-mistakes text. The AI coach is grounded in the active profile, immutable problem instance, learner steps, and current solution frontier. Nudge mode must not leak the next answer; Walk me through it reveals one approved node at a time.</w:t>
      </w:r>
    </w:p>
    <w:p>
      <w:pPr>
        <w:pStyle w:val="Heading1"/>
        <w:keepNext/>
        <w:keepLines/>
        <w:spacing w:before="280" w:after="100"/>
      </w:pPr>
      <w:r>
        <w:rPr>
          <w:rFonts w:ascii="Aptos" w:hAnsi="Aptos"/>
          <w:b/>
          <w:color w:val="000000"/>
          <w:sz w:val="28"/>
        </w:rPr>
        <w:t>7 Included scope</w:t>
      </w:r>
    </w:p>
    <w:p>
      <w:pPr>
        <w:pStyle w:val="ListBullet"/>
        <w:keepLines/>
        <w:spacing w:after="60" w:line="259" w:lineRule="auto"/>
      </w:pPr>
      <w:r>
        <w:rPr>
          <w:rFonts w:ascii="Aptos" w:hAnsi="Aptos"/>
          <w:b w:val="0"/>
          <w:i w:val="0"/>
          <w:color w:val="000000"/>
          <w:sz w:val="21"/>
        </w:rPr>
        <w:t>Private authentication with Brent as content administrator and Amy as learner.</w:t>
      </w:r>
    </w:p>
    <w:p>
      <w:pPr>
        <w:pStyle w:val="ListBullet"/>
        <w:keepLines/>
        <w:spacing w:after="60" w:line="259" w:lineRule="auto"/>
      </w:pPr>
      <w:r>
        <w:rPr>
          <w:rFonts w:ascii="Aptos" w:hAnsi="Aptos"/>
          <w:b w:val="0"/>
          <w:i w:val="0"/>
          <w:color w:val="000000"/>
          <w:sz w:val="21"/>
        </w:rPr>
        <w:t>Profile import, validation, versioning, preview, draft status, publish status, and audit history.</w:t>
      </w:r>
    </w:p>
    <w:p>
      <w:pPr>
        <w:pStyle w:val="ListBullet"/>
        <w:keepLines/>
        <w:spacing w:after="60" w:line="259" w:lineRule="auto"/>
      </w:pPr>
      <w:r>
        <w:rPr>
          <w:rFonts w:ascii="Aptos" w:hAnsi="Aptos"/>
          <w:b w:val="0"/>
          <w:i w:val="0"/>
          <w:color w:val="000000"/>
          <w:sz w:val="21"/>
        </w:rPr>
        <w:t>Deterministic session generation from profile, template, and seed; attempt history and review view.</w:t>
      </w:r>
    </w:p>
    <w:p>
      <w:pPr>
        <w:pStyle w:val="ListBullet"/>
        <w:keepLines/>
        <w:spacing w:after="60" w:line="259" w:lineRule="auto"/>
      </w:pPr>
      <w:r>
        <w:rPr>
          <w:rFonts w:ascii="Aptos" w:hAnsi="Aptos"/>
          <w:b w:val="0"/>
          <w:i w:val="0"/>
          <w:color w:val="000000"/>
          <w:sz w:val="21"/>
        </w:rPr>
        <w:t>LaTex rendering; guided Add Step flow; server-authoritative evaluation; formula application, method choice, input binding, unit conversion, final answer, and derivative operations.</w:t>
      </w:r>
    </w:p>
    <w:p>
      <w:pPr>
        <w:pStyle w:val="ListBullet"/>
        <w:keepLines/>
        <w:spacing w:after="60" w:line="259" w:lineRule="auto"/>
      </w:pPr>
      <w:r>
        <w:rPr>
          <w:rFonts w:ascii="Aptos" w:hAnsi="Aptos"/>
          <w:b w:val="0"/>
          <w:i w:val="0"/>
          <w:color w:val="000000"/>
          <w:sz w:val="21"/>
        </w:rPr>
        <w:t>Circuit SVG adapter with topology-aware selection and KCL, KVL, series, parallel, and power operations.</w:t>
      </w:r>
    </w:p>
    <w:p>
      <w:pPr>
        <w:pStyle w:val="ListBullet"/>
        <w:keepLines/>
        <w:spacing w:after="60" w:line="259" w:lineRule="auto"/>
      </w:pPr>
      <w:r>
        <w:rPr>
          <w:rFonts w:ascii="Aptos" w:hAnsi="Aptos"/>
          <w:b w:val="0"/>
          <w:i w:val="0"/>
          <w:color w:val="000000"/>
          <w:sz w:val="21"/>
        </w:rPr>
        <w:t>Basic declarative scene3d adapter and graph2d adapter.</w:t>
      </w:r>
    </w:p>
    <w:p>
      <w:pPr>
        <w:pStyle w:val="ListBullet"/>
        <w:keepLines/>
        <w:spacing w:after="60" w:line="259" w:lineRule="auto"/>
      </w:pPr>
      <w:r>
        <w:rPr>
          <w:rFonts w:ascii="Aptos" w:hAnsi="Aptos"/>
          <w:b w:val="0"/>
          <w:i w:val="0"/>
          <w:color w:val="000000"/>
          <w:sz w:val="21"/>
        </w:rPr>
        <w:t>Solution DAG, bounded alternate-path handling, mistake categories, approved solution walkthrough, and contextual coach.</w:t>
      </w:r>
    </w:p>
    <w:p>
      <w:pPr>
        <w:pStyle w:val="ListBullet"/>
        <w:keepLines/>
        <w:spacing w:after="60" w:line="259" w:lineRule="auto"/>
      </w:pPr>
      <w:r>
        <w:rPr>
          <w:rFonts w:ascii="Aptos" w:hAnsi="Aptos"/>
          <w:b w:val="0"/>
          <w:i w:val="0"/>
          <w:color w:val="000000"/>
          <w:sz w:val="21"/>
        </w:rPr>
        <w:t>Reviewed ENGR 206 starter profile with at least ten parameterized problem families plus a small derivative proof profile.</w:t>
      </w:r>
    </w:p>
    <w:p>
      <w:pPr>
        <w:pStyle w:val="ListBullet"/>
        <w:keepLines/>
        <w:spacing w:after="60" w:line="259" w:lineRule="auto"/>
      </w:pPr>
      <w:r>
        <w:rPr>
          <w:rFonts w:ascii="Aptos" w:hAnsi="Aptos"/>
          <w:b w:val="0"/>
          <w:i w:val="0"/>
          <w:color w:val="000000"/>
          <w:sz w:val="21"/>
        </w:rPr>
        <w:t>Automated test suite, 50-seed profile harness, staging and production deployment, administrator guide, source-code handoff, and 14-day bug-fix period.</w:t>
      </w:r>
    </w:p>
    <w:p>
      <w:r>
        <w:br w:type="page"/>
      </w:r>
    </w:p>
    <w:p>
      <w:pPr>
        <w:pStyle w:val="Heading1"/>
        <w:keepNext/>
        <w:keepLines/>
        <w:spacing w:before="280" w:after="100"/>
      </w:pPr>
      <w:r>
        <w:rPr>
          <w:rFonts w:ascii="Aptos" w:hAnsi="Aptos"/>
          <w:b/>
          <w:color w:val="000000"/>
          <w:sz w:val="28"/>
        </w:rPr>
        <w:t>8 Excluded scope</w:t>
      </w:r>
    </w:p>
    <w:p>
      <w:pPr>
        <w:pStyle w:val="ListBullet"/>
        <w:keepLines/>
        <w:spacing w:after="60" w:line="259" w:lineRule="auto"/>
      </w:pPr>
      <w:r>
        <w:rPr>
          <w:rFonts w:ascii="Aptos" w:hAnsi="Aptos"/>
          <w:b w:val="0"/>
          <w:i w:val="0"/>
          <w:color w:val="000000"/>
          <w:sz w:val="21"/>
        </w:rPr>
        <w:t>LMS integration, class rosters, grade export, instructor accounts, public sharing, payment, subscriptions, or a school marketplace.</w:t>
      </w:r>
    </w:p>
    <w:p>
      <w:pPr>
        <w:pStyle w:val="ListBullet"/>
        <w:keepLines/>
        <w:spacing w:after="60" w:line="259" w:lineRule="auto"/>
      </w:pPr>
      <w:r>
        <w:rPr>
          <w:rFonts w:ascii="Aptos" w:hAnsi="Aptos"/>
          <w:b w:val="0"/>
          <w:i w:val="0"/>
          <w:color w:val="000000"/>
          <w:sz w:val="21"/>
        </w:rPr>
        <w:t>WYSIWYG content editing, OCR that automatically creates correct problems, handwritten-solution grading, unrestricted CAS, or free-form proof grading.</w:t>
      </w:r>
    </w:p>
    <w:p>
      <w:pPr>
        <w:pStyle w:val="ListBullet"/>
        <w:keepLines/>
        <w:spacing w:after="60" w:line="259" w:lineRule="auto"/>
      </w:pPr>
      <w:r>
        <w:rPr>
          <w:rFonts w:ascii="Aptos" w:hAnsi="Aptos"/>
          <w:b w:val="0"/>
          <w:i w:val="0"/>
          <w:color w:val="000000"/>
          <w:sz w:val="21"/>
        </w:rPr>
        <w:t>Arbitrary 3D modeling, CAD import, animation or physics simulation, native mobile apps, and public multi-tenant operation.</w:t>
      </w:r>
    </w:p>
    <w:p>
      <w:pPr>
        <w:pStyle w:val="ListBullet"/>
        <w:keepLines/>
        <w:spacing w:after="60" w:line="259" w:lineRule="auto"/>
      </w:pPr>
      <w:r>
        <w:rPr>
          <w:rFonts w:ascii="Aptos" w:hAnsi="Aptos"/>
          <w:b w:val="0"/>
          <w:i w:val="0"/>
          <w:color w:val="000000"/>
          <w:sz w:val="21"/>
        </w:rPr>
        <w:t>Any promise that AI-generated content is correct without profile validation and human review.</w:t>
      </w:r>
    </w:p>
    <w:p>
      <w:pPr>
        <w:pStyle w:val="Heading1"/>
        <w:keepNext/>
        <w:keepLines/>
        <w:spacing w:before="280" w:after="100"/>
      </w:pPr>
      <w:r>
        <w:rPr>
          <w:rFonts w:ascii="Aptos" w:hAnsi="Aptos"/>
          <w:b/>
          <w:color w:val="000000"/>
          <w:sz w:val="28"/>
        </w:rPr>
        <w:t>9 Acceptance criteria</w:t>
      </w:r>
    </w:p>
    <w:tbl>
      <w:tblPr>
        <w:tblStyle w:val="TableGrid"/>
        <w:tblW w:type="auto" w:w="0"/>
        <w:tblLayout w:type="fixed"/>
        <w:tblLook w:firstColumn="1" w:firstRow="1" w:lastColumn="0" w:lastRow="0" w:noHBand="0" w:noVBand="1" w:val="04A0"/>
      </w:tblPr>
      <w:tblGrid>
        <w:gridCol w:w="4997"/>
        <w:gridCol w:w="4997"/>
      </w:tblGrid>
      <w:tr>
        <w:trPr>
          <w:tblHeader w:val="true"/>
          <w:cantSplit/>
        </w:trPr>
        <w:tc>
          <w:tcPr>
            <w:tcW w:type="dxa" w:w="201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b/>
                <w:i w:val="0"/>
                <w:color w:val="FFFFFF"/>
                <w:sz w:val="19"/>
              </w:rPr>
              <w:t>Area</w:t>
            </w:r>
          </w:p>
        </w:tc>
        <w:tc>
          <w:tcPr>
            <w:tcW w:type="dxa" w:w="784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b/>
                <w:i w:val="0"/>
                <w:color w:val="FFFFFF"/>
                <w:sz w:val="19"/>
              </w:rPr>
              <w:t>Acceptance demonstration</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Profile validation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Reject missing formula references, missing visual targets, unsafe expressions, solution cycles, unsupported adapters, and missing explanations with actionable paths.</w:t>
            </w:r>
          </w:p>
        </w:tc>
      </w:tr>
      <w:tr>
        <w:trPr>
          <w:cantSplit/>
        </w:trPr>
        <w:tc>
          <w:tcPr>
            <w:tcW w:type="dxa" w:w="2015"/>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Determinism</w:t>
            </w:r>
          </w:p>
        </w:tc>
        <w:tc>
          <w:tcPr>
            <w:tcW w:type="dxa" w:w="7848"/>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The same profile version, template, and seed reproduce the same problem, visual, formula sheet, and accepted answer.</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Circuit learner flow</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Amy completes a node-voltage problem by selecting node a, writing KCL, binding inputs, receiving an intermediate calculation, and stating Va.</w:t>
            </w:r>
          </w:p>
        </w:tc>
      </w:tr>
      <w:tr>
        <w:trPr>
          <w:cantSplit/>
        </w:trPr>
        <w:tc>
          <w:tcPr>
            <w:tcW w:type="dxa" w:w="2015"/>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Alternate circuit path</w:t>
            </w:r>
          </w:p>
        </w:tc>
        <w:tc>
          <w:tcPr>
            <w:tcW w:type="dxa" w:w="7848"/>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A valid opposite sign convention for a mesh or supermesh equation receives accepted-alternative status rather than a false failure.</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Derivative flow</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Learner selects an approved expression and variable, receives a canonical derivative and numeric evaluation, and reads why differentiation is first.</w:t>
            </w:r>
          </w:p>
        </w:tc>
      </w:tr>
      <w:tr>
        <w:trPr>
          <w:cantSplit/>
        </w:trPr>
        <w:tc>
          <w:tcPr>
            <w:tcW w:type="dxa" w:w="2015"/>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Coaching</w:t>
            </w:r>
          </w:p>
        </w:tc>
        <w:tc>
          <w:tcPr>
            <w:tcW w:type="dxa" w:w="7848"/>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Nudge references the active context without disclosing the solution. Walkthrough releases exactly one approved solution node at a time.</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Quality and handoff</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Automated tests and 50-seed harness pass in a clean environment. Brent can deploy staging and production from written documentation.</w:t>
            </w:r>
          </w:p>
        </w:tc>
      </w:tr>
    </w:tbl>
    <w:p>
      <w:pPr>
        <w:spacing w:after="40"/>
      </w:pPr>
    </w:p>
    <w:p>
      <w:r>
        <w:br w:type="page"/>
      </w:r>
    </w:p>
    <w:p>
      <w:pPr>
        <w:pStyle w:val="Heading1"/>
        <w:keepNext/>
        <w:keepLines/>
        <w:spacing w:before="280" w:after="100"/>
      </w:pPr>
      <w:r>
        <w:rPr>
          <w:rFonts w:ascii="Aptos" w:hAnsi="Aptos"/>
          <w:b/>
          <w:color w:val="000000"/>
          <w:sz w:val="28"/>
        </w:rPr>
        <w:t>10 Milestones and payment</w:t>
      </w:r>
    </w:p>
    <w:p>
      <w:pPr>
        <w:keepLines/>
        <w:spacing w:before="0" w:after="140" w:line="269" w:lineRule="auto"/>
      </w:pPr>
      <w:r>
        <w:rPr>
          <w:rFonts w:ascii="Aptos" w:hAnsi="Aptos"/>
          <w:b w:val="0"/>
          <w:i w:val="0"/>
          <w:color w:val="000000"/>
          <w:sz w:val="21"/>
        </w:rPr>
        <w:t>The parties may insert a fixed fee for each milestone below. Payment occurs only after the stated acceptance gate is demonstrated in a shared staging environment. Work outside this SOW requires a written change order before implementation.</w:t>
      </w:r>
    </w:p>
    <w:tbl>
      <w:tblPr>
        <w:tblStyle w:val="TableGrid"/>
        <w:tblW w:type="auto" w:w="0"/>
        <w:tblLayout w:type="fixed"/>
        <w:tblLook w:firstColumn="1" w:firstRow="1" w:lastColumn="0" w:lastRow="0" w:noHBand="0" w:noVBand="1" w:val="04A0"/>
      </w:tblPr>
      <w:tblGrid>
        <w:gridCol w:w="2498"/>
        <w:gridCol w:w="2498"/>
        <w:gridCol w:w="2498"/>
        <w:gridCol w:w="2498"/>
      </w:tblGrid>
      <w:tr>
        <w:trPr>
          <w:tblHeader w:val="true"/>
          <w:cantSplit/>
        </w:trPr>
        <w:tc>
          <w:tcPr>
            <w:tcW w:type="dxa" w:w="122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b/>
                <w:i w:val="0"/>
                <w:color w:val="FFFFFF"/>
                <w:sz w:val="19"/>
              </w:rPr>
              <w:t>Milestone</w:t>
            </w:r>
          </w:p>
        </w:tc>
        <w:tc>
          <w:tcPr>
            <w:tcW w:type="dxa" w:w="6263"/>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b/>
                <w:i w:val="0"/>
                <w:color w:val="FFFFFF"/>
                <w:sz w:val="19"/>
              </w:rPr>
              <w:t>Deliverable and acceptance gate</w:t>
            </w:r>
          </w:p>
        </w:tc>
        <w:tc>
          <w:tcPr>
            <w:tcW w:type="dxa" w:w="129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b/>
                <w:i w:val="0"/>
                <w:color w:val="FFFFFF"/>
                <w:sz w:val="19"/>
              </w:rPr>
              <w:t>Target duration</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b/>
                <w:i w:val="0"/>
                <w:color w:val="FFFFFF"/>
                <w:sz w:val="19"/>
              </w:rPr>
              <w:t>Payment share</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0 Blueprint</w:t>
            </w:r>
          </w:p>
        </w:tc>
        <w:tc>
          <w:tcPr>
            <w:tcW w:type="dxa" w:w="626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Final schema, validator, one rendered circuit problem, one guided formula step, and written architecture.</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1 to 2 weeks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15%</w:t>
            </w:r>
          </w:p>
        </w:tc>
      </w:tr>
      <w:tr>
        <w:trPr>
          <w:cantSplit/>
        </w:trPr>
        <w:tc>
          <w:tcPr>
            <w:tcW w:type="dxa" w:w="1224"/>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1 Core</w:t>
            </w:r>
          </w:p>
        </w:tc>
        <w:tc>
          <w:tcPr>
            <w:tcW w:type="dxa" w:w="6263"/>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Auth, profiles, deterministic sessions, formula and derivative operations, solution graph, work graph, and five ENGR 206 families.</w:t>
            </w:r>
          </w:p>
        </w:tc>
        <w:tc>
          <w:tcPr>
            <w:tcW w:type="dxa" w:w="1296"/>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3 to 4 weeks</w:t>
            </w:r>
          </w:p>
        </w:tc>
        <w:tc>
          <w:tcPr>
            <w:tcW w:type="dxa" w:w="1080"/>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35%</w:t>
            </w:r>
          </w:p>
        </w:tc>
      </w:tr>
      <w:tr>
        <w:trPr>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2 Visuals and coach</w:t>
            </w:r>
          </w:p>
        </w:tc>
        <w:tc>
          <w:tcPr>
            <w:tcW w:type="dxa" w:w="626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Topology actions, basic 3D scene adapter, coach modes, review view, ten ENGR 206 families, and author review workflow.</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3 to 4 weeks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30%</w:t>
            </w:r>
          </w:p>
        </w:tc>
      </w:tr>
      <w:tr>
        <w:trPr>
          <w:cantSplit/>
        </w:trPr>
        <w:tc>
          <w:tcPr>
            <w:tcW w:type="dxa" w:w="1224"/>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3 Handoff</w:t>
            </w:r>
          </w:p>
        </w:tc>
        <w:tc>
          <w:tcPr>
            <w:tcW w:type="dxa" w:w="6263"/>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Automated tests, seed harness, deployment, documentation, source handoff, and bug-fix window.</w:t>
            </w:r>
          </w:p>
        </w:tc>
        <w:tc>
          <w:tcPr>
            <w:tcW w:type="dxa" w:w="1296"/>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2 weeks</w:t>
            </w:r>
          </w:p>
        </w:tc>
        <w:tc>
          <w:tcPr>
            <w:tcW w:type="dxa" w:w="1080"/>
            <w:shd w:fill="EEF4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52" w:lineRule="auto"/>
            </w:pPr>
            <w:r>
              <w:rPr>
                <w:rFonts w:ascii="Aptos" w:hAnsi="Aptos"/>
                <w:b w:val="0"/>
                <w:i w:val="0"/>
                <w:color w:val="000000"/>
                <w:sz w:val="18"/>
              </w:rPr>
              <w:t>20%</w:t>
            </w:r>
          </w:p>
        </w:tc>
      </w:tr>
    </w:tbl>
    <w:p>
      <w:pPr>
        <w:spacing w:after="40"/>
      </w:pPr>
    </w:p>
    <w:p>
      <w:pPr>
        <w:keepLines/>
        <w:spacing w:before="0" w:after="140" w:line="269" w:lineRule="auto"/>
      </w:pPr>
      <w:r>
        <w:rPr>
          <w:rFonts w:ascii="Aptos" w:hAnsi="Aptos"/>
          <w:b w:val="0"/>
          <w:i w:val="0"/>
          <w:color w:val="000000"/>
          <w:sz w:val="21"/>
        </w:rPr>
        <w:t>Expected senior-engineering effort is roughly 250 to 340 hours. A reasonable fixed-price range is approximately $30,000 to $50,000, plus metered hosting and AI usage. If a smaller proof of concept is desired, contract only through the 2D circuit core and defer the 3D adapter, in-app AI draft generator, and richer author-review interface.</w:t>
      </w:r>
    </w:p>
    <w:p>
      <w:r>
        <w:br w:type="page"/>
      </w:r>
    </w:p>
    <w:p>
      <w:pPr>
        <w:pStyle w:val="Heading1"/>
        <w:keepNext/>
        <w:keepLines/>
        <w:spacing w:before="280" w:after="100"/>
      </w:pPr>
      <w:r>
        <w:rPr>
          <w:rFonts w:ascii="Aptos" w:hAnsi="Aptos"/>
          <w:b/>
          <w:color w:val="000000"/>
          <w:sz w:val="28"/>
        </w:rPr>
        <w:t>11 Source ownership, change control, and handoff</w:t>
      </w:r>
    </w:p>
    <w:p>
      <w:pPr>
        <w:keepLines/>
        <w:spacing w:before="0" w:after="140" w:line="269" w:lineRule="auto"/>
      </w:pPr>
      <w:r>
        <w:rPr>
          <w:rFonts w:ascii="Aptos" w:hAnsi="Aptos"/>
          <w:b w:val="0"/>
          <w:i w:val="0"/>
          <w:color w:val="000000"/>
          <w:sz w:val="21"/>
        </w:rPr>
        <w:t>Upon full payment, Client receives the custom source code, profile schema, profiles, deployment configuration, database migrations, and documentation. Contractor must use a client-owned private Git repository from day one, disclose third-party dependencies and licenses, and avoid undisclosed proprietary runtime requirements.</w:t>
      </w:r>
    </w:p>
    <w:p>
      <w:pPr>
        <w:keepLines/>
        <w:spacing w:before="0" w:after="140" w:line="269" w:lineRule="auto"/>
      </w:pPr>
      <w:r>
        <w:rPr>
          <w:rFonts w:ascii="Aptos" w:hAnsi="Aptos"/>
          <w:b w:val="0"/>
          <w:i w:val="0"/>
          <w:color w:val="000000"/>
          <w:sz w:val="21"/>
        </w:rPr>
        <w:t>Contractor will provide a recorded or live handoff session, a local-development guide, deployment guide, environment-variable inventory, backup and restore instructions, and a short administrator guide. Reproducible in-scope defects reported within 14 calendar days of final acceptance will be fixed without additional charge.</w:t>
      </w:r>
    </w:p>
    <w:p>
      <w:pPr>
        <w:keepLines/>
        <w:spacing w:before="0" w:after="140" w:line="269" w:lineRule="auto"/>
      </w:pPr>
      <w:r>
        <w:rPr>
          <w:rFonts w:ascii="Aptos" w:hAnsi="Aptos"/>
          <w:b w:val="0"/>
          <w:i w:val="0"/>
          <w:color w:val="000000"/>
          <w:sz w:val="21"/>
        </w:rPr>
        <w:t>This document defines the technical scope and acceptance terms. It should be attached to a master services agreement that has been reviewed for the parties' independent-contractor, confidentiality, intellectual-property, tax, liability, payment, and governing-law terms.</w:t>
      </w:r>
    </w:p>
    <w:p>
      <w:pPr>
        <w:pStyle w:val="Heading1"/>
        <w:keepNext/>
        <w:keepLines/>
        <w:spacing w:before="280" w:after="100"/>
      </w:pPr>
      <w:r>
        <w:rPr>
          <w:rFonts w:ascii="Aptos" w:hAnsi="Aptos"/>
          <w:b/>
          <w:color w:val="000000"/>
          <w:sz w:val="28"/>
        </w:rPr>
        <w:t>Signatures</w:t>
      </w:r>
    </w:p>
    <w:p>
      <w:pPr>
        <w:keepLines/>
        <w:spacing w:before="0" w:after="140" w:line="269" w:lineRule="auto"/>
      </w:pPr>
      <w:r>
        <w:rPr>
          <w:rFonts w:ascii="Aptos" w:hAnsi="Aptos"/>
          <w:b w:val="0"/>
          <w:i w:val="0"/>
          <w:color w:val="000000"/>
          <w:sz w:val="21"/>
        </w:rPr>
        <w:t>The parties agree to this Statement of Work and its referenced technical attachments.</w:t>
      </w:r>
    </w:p>
    <w:tbl>
      <w:tblPr>
        <w:tblW w:type="auto" w:w="0"/>
        <w:tblLayout w:type="fixed"/>
        <w:tblLook w:firstColumn="1" w:firstRow="1" w:lastColumn="0" w:lastRow="0" w:noHBand="0" w:noVBand="1" w:val="04A0"/>
      </w:tblPr>
      <w:tblGrid>
        <w:gridCol w:w="4997"/>
        <w:gridCol w:w="4997"/>
      </w:tblGrid>
      <w:tr>
        <w:tc>
          <w:tcPr>
            <w:tcW w:type="dxa" w:w="4924"/>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r>
              <w:rPr>
                <w:rFonts w:ascii="Aptos" w:hAnsi="Aptos"/>
                <w:b/>
                <w:i w:val="0"/>
                <w:color w:val="000000"/>
                <w:sz w:val="19"/>
              </w:rPr>
              <w:t xml:space="preserve">Client name and title: </w:t>
            </w:r>
            <w:r>
              <w:rPr>
                <w:rFonts w:ascii="Aptos" w:hAnsi="Aptos"/>
                <w:b w:val="0"/>
                <w:i w:val="0"/>
                <w:color w:val="000000"/>
                <w:sz w:val="19"/>
              </w:rPr>
              <w:t>________________________________</w:t>
            </w:r>
          </w:p>
        </w:tc>
        <w:tc>
          <w:tcPr>
            <w:tcW w:type="dxa" w:w="4924"/>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r>
              <w:rPr>
                <w:rFonts w:ascii="Aptos" w:hAnsi="Aptos"/>
                <w:b/>
                <w:i w:val="0"/>
                <w:color w:val="000000"/>
                <w:sz w:val="19"/>
              </w:rPr>
              <w:t xml:space="preserve">Contractor name and title: </w:t>
            </w:r>
            <w:r>
              <w:rPr>
                <w:rFonts w:ascii="Aptos" w:hAnsi="Aptos"/>
                <w:b w:val="0"/>
                <w:i w:val="0"/>
                <w:color w:val="000000"/>
                <w:sz w:val="19"/>
              </w:rPr>
              <w:t>________________________________</w:t>
            </w:r>
          </w:p>
        </w:tc>
      </w:tr>
      <w:tr>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r>
              <w:rPr>
                <w:rFonts w:ascii="Aptos" w:hAnsi="Aptos"/>
                <w:b/>
                <w:i w:val="0"/>
                <w:color w:val="000000"/>
                <w:sz w:val="19"/>
              </w:rPr>
              <w:t xml:space="preserve">Signature: </w:t>
            </w:r>
            <w:r>
              <w:rPr>
                <w:rFonts w:ascii="Aptos" w:hAnsi="Aptos"/>
                <w:b w:val="0"/>
                <w:i w:val="0"/>
                <w:color w:val="000000"/>
                <w:sz w:val="19"/>
              </w:rPr>
              <w:t>________________________________</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r>
              <w:rPr>
                <w:rFonts w:ascii="Aptos" w:hAnsi="Aptos"/>
                <w:b/>
                <w:i w:val="0"/>
                <w:color w:val="000000"/>
                <w:sz w:val="19"/>
              </w:rPr>
              <w:t xml:space="preserve">Signature: </w:t>
            </w:r>
            <w:r>
              <w:rPr>
                <w:rFonts w:ascii="Aptos" w:hAnsi="Aptos"/>
                <w:b w:val="0"/>
                <w:i w:val="0"/>
                <w:color w:val="000000"/>
                <w:sz w:val="19"/>
              </w:rPr>
              <w:t>________________________________</w:t>
            </w:r>
          </w:p>
        </w:tc>
      </w:tr>
      <w:tr>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r>
              <w:rPr>
                <w:rFonts w:ascii="Aptos" w:hAnsi="Aptos"/>
                <w:b/>
                <w:i w:val="0"/>
                <w:color w:val="000000"/>
                <w:sz w:val="19"/>
              </w:rPr>
              <w:t xml:space="preserve">Date: </w:t>
            </w:r>
            <w:r>
              <w:rPr>
                <w:rFonts w:ascii="Aptos" w:hAnsi="Aptos"/>
                <w:b w:val="0"/>
                <w:i w:val="0"/>
                <w:color w:val="000000"/>
                <w:sz w:val="19"/>
              </w:rPr>
              <w:t>________________________________</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r>
              <w:rPr>
                <w:rFonts w:ascii="Aptos" w:hAnsi="Aptos"/>
                <w:b/>
                <w:i w:val="0"/>
                <w:color w:val="000000"/>
                <w:sz w:val="19"/>
              </w:rPr>
              <w:t xml:space="preserve">Date: </w:t>
            </w:r>
            <w:r>
              <w:rPr>
                <w:rFonts w:ascii="Aptos" w:hAnsi="Aptos"/>
                <w:b w:val="0"/>
                <w:i w:val="0"/>
                <w:color w:val="000000"/>
                <w:sz w:val="19"/>
              </w:rPr>
              <w:t>________________________________</w:t>
            </w:r>
          </w:p>
        </w:tc>
      </w:tr>
      <w:tr>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r>
              <w:rPr>
                <w:rFonts w:ascii="Aptos" w:hAnsi="Aptos"/>
                <w:b/>
                <w:i w:val="0"/>
                <w:color w:val="000000"/>
                <w:sz w:val="19"/>
              </w:rPr>
              <w:t xml:space="preserve">Email: </w:t>
            </w:r>
            <w:r>
              <w:rPr>
                <w:rFonts w:ascii="Aptos" w:hAnsi="Aptos"/>
                <w:b w:val="0"/>
                <w:i w:val="0"/>
                <w:color w:val="000000"/>
                <w:sz w:val="19"/>
              </w:rPr>
              <w:t>________________________________</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tcMar>
              <w:top w:w="120" w:type="dxa"/>
              <w:start w:w="110" w:type="dxa"/>
              <w:bottom w:w="120" w:type="dxa"/>
              <w:end w:w="110" w:type="dxa"/>
            </w:tcMar>
            <w:vAlign w:val="center"/>
          </w:tcPr>
          <w:p>
            <w:r>
              <w:rPr>
                <w:rFonts w:ascii="Aptos" w:hAnsi="Aptos"/>
                <w:b/>
                <w:i w:val="0"/>
                <w:color w:val="000000"/>
                <w:sz w:val="19"/>
              </w:rPr>
              <w:t xml:space="preserve">Email: </w:t>
            </w:r>
            <w:r>
              <w:rPr>
                <w:rFonts w:ascii="Aptos" w:hAnsi="Aptos"/>
                <w:b w:val="0"/>
                <w:i w:val="0"/>
                <w:color w:val="000000"/>
                <w:sz w:val="19"/>
              </w:rPr>
              <w:t>________________________________</w:t>
            </w:r>
          </w:p>
        </w:tc>
      </w:tr>
    </w:tbl>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