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Guided Test Prep Local Offline Statement of Work</w:t>
      </w:r>
    </w:p>
    <w:p>
      <w:pPr>
        <w:spacing w:after="240"/>
      </w:pPr>
      <w:r>
        <w:rPr>
          <w:i/>
          <w:color w:val="555555"/>
        </w:rPr>
        <w:t>Revision 0.2  |  Engineering handoff for an offline test runner</w:t>
      </w:r>
    </w:p>
    <w:p>
      <w:pPr>
        <w:spacing w:after="120"/>
      </w:pPr>
      <w:r>
        <w:t>This revised scope is a small local study tool for Amy, not a hosted product. Brent creates complete test JSON files outside the application. Amy double-clicks a local HTML file, loads one of those tests, works timed dropdown-based steps, and then reveals the approved solution path with teaching explanations.</w:t>
      </w:r>
    </w:p>
    <w:p>
      <w:pPr>
        <w:spacing w:after="120"/>
      </w:pPr>
      <w:r>
        <w:rPr>
          <w:b/>
        </w:rPr>
        <w:t>There is no server-side backend in this scope.</w:t>
      </w:r>
      <w:r>
        <w:t xml:space="preserve"> The browser runtime and the test-file contract are the complete product boundary.</w:t>
      </w:r>
    </w:p>
    <w:p>
      <w:pPr>
        <w:pStyle w:val="Heading1"/>
        <w:keepNext/>
      </w:pPr>
      <w:r>
        <w:t>Intended use 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Stage</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What happens</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1. Create test outside the app</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Brent uses the schema to generate a fixed, complete JSON test from homework, formula sheets, or practice exams.</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2. Load locally</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Amy double-clicks index.html, selects Load Test, and chooses the JSON file with a native file picker.</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3. Start a problem</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She selects a question and presses Start. The app shows an elapsed timer.</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4. Build structured work</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She uses dropdowns to select formula-sheet items, basic math, conversions, derivatives, and reusable inputs.</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5. Calculate and name values</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The app calculates each output, gives it an editable name and symbol, and adds it to later dropdowns.</w:t>
            </w:r>
          </w:p>
        </w:tc>
      </w:tr>
      <w:tr>
        <w:tc>
          <w:tcPr>
            <w:tcW w:type="dxa" w:w="237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6. Review the path</w:t>
            </w:r>
          </w:p>
        </w:tc>
        <w:tc>
          <w:tcPr>
            <w:tcW w:type="dxa" w:w="7343"/>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She finishes, the timer stops, and the app reveals the author-provided solution and why each step comes next.</w:t>
            </w:r>
          </w:p>
        </w:tc>
      </w:tr>
    </w:tbl>
    <w:p>
      <w:pPr>
        <w:spacing w:after="40"/>
      </w:pPr>
    </w:p>
    <w:p>
      <w:pPr>
        <w:pStyle w:val="Heading1"/>
        <w:keepNext/>
      </w:pPr>
      <w:r>
        <w:t>Product boundary</w:t>
      </w:r>
    </w:p>
    <w:p>
      <w:pPr>
        <w:spacing w:after="40"/>
        <w:ind w:left="547" w:hanging="389"/>
      </w:pPr>
      <w:r>
        <w:t xml:space="preserve">• </w:t>
      </w:r>
      <w:r>
        <w:t>The application consumes finished test files only. It does not generate questions, randomize parameters, ingest homework, publish profiles, or provide an in-app authoring tool.</w:t>
      </w:r>
    </w:p>
    <w:p>
      <w:pPr>
        <w:spacing w:after="40"/>
        <w:ind w:left="547" w:hanging="389"/>
      </w:pPr>
      <w:r>
        <w:t xml:space="preserve">• </w:t>
      </w:r>
      <w:r>
        <w:t>The final runtime must work offline when opened by double-clicking index.html. It must not need a web server, sign-in, database, API key, cloud service, CDN, or command line.</w:t>
      </w:r>
    </w:p>
    <w:p>
      <w:pPr>
        <w:spacing w:after="40"/>
        <w:ind w:left="547" w:hanging="389"/>
      </w:pPr>
      <w:r>
        <w:t xml:space="preserve">• </w:t>
      </w:r>
      <w:r>
        <w:t>The home screen offers Load Test, two included reference tests, and problem selection. A local FileReader load flow is required because a page opened with file:// cannot reliably fetch a neighboring JSON file.</w:t>
      </w:r>
    </w:p>
    <w:p>
      <w:pPr>
        <w:spacing w:after="40"/>
        <w:ind w:left="547" w:hanging="389"/>
      </w:pPr>
      <w:r>
        <w:t xml:space="preserve">• </w:t>
      </w:r>
      <w:r>
        <w:t>A loaded test is one JSON file containing prompt text, LaTex, formula sheet, visual data, fixed givens, answer path, and teaching explanations.</w:t>
      </w:r>
    </w:p>
    <w:p>
      <w:pPr>
        <w:pStyle w:val="Heading1"/>
        <w:keepNext/>
      </w:pPr>
      <w:r>
        <w:t>Learner workflow requirements</w:t>
      </w:r>
    </w:p>
    <w:p>
      <w:pPr>
        <w:pStyle w:val="Heading2"/>
        <w:keepNext/>
      </w:pPr>
      <w:r>
        <w:t>Timed problem</w:t>
      </w:r>
    </w:p>
    <w:p>
      <w:pPr>
        <w:spacing w:after="120"/>
      </w:pPr>
      <w:r>
        <w:t>Amy selects Start when ready. The page shows elapsed time and allows Pause and Finish. Finish and reveal path stops the timer for the attempt. Timing is a study aid only; there is no account history, proctoring, or tamper protection requirement.</w:t>
      </w:r>
    </w:p>
    <w:p>
      <w:pPr>
        <w:pStyle w:val="Heading2"/>
        <w:keepNext/>
      </w:pPr>
      <w:r>
        <w:t>Guided dropdown steps</w:t>
      </w:r>
    </w:p>
    <w:p>
      <w:pPr>
        <w:spacing w:after="40"/>
        <w:ind w:left="547" w:hanging="389"/>
      </w:pPr>
      <w:r>
        <w:t xml:space="preserve">1. </w:t>
      </w:r>
      <w:r>
        <w:t>Choose Add Step and then Formula sheet, Basic math, Unit conversion, Derivative, or Final answer.</w:t>
      </w:r>
    </w:p>
    <w:p>
      <w:pPr>
        <w:spacing w:after="40"/>
        <w:ind w:left="547" w:hanging="389"/>
      </w:pPr>
      <w:r>
        <w:t xml:space="preserve">2. </w:t>
      </w:r>
      <w:r>
        <w:t>Choose the specific formula or operation from a dropdown.</w:t>
      </w:r>
    </w:p>
    <w:p>
      <w:pPr>
        <w:spacing w:after="40"/>
        <w:ind w:left="547" w:hanging="389"/>
      </w:pPr>
      <w:r>
        <w:t xml:space="preserve">3. </w:t>
      </w:r>
      <w:r>
        <w:t>Choose every input from dropdowns of original givens, declared constants, and earlier outputs.</w:t>
      </w:r>
    </w:p>
    <w:p>
      <w:pPr>
        <w:spacing w:after="40"/>
        <w:ind w:left="547" w:hanging="389"/>
      </w:pPr>
      <w:r>
        <w:t xml:space="preserve">4. </w:t>
      </w:r>
      <w:r>
        <w:t>Confirm or edit the generated output name and symbol, then calculate.</w:t>
      </w:r>
    </w:p>
    <w:p>
      <w:pPr>
        <w:spacing w:after="40"/>
        <w:ind w:left="547" w:hanging="389"/>
      </w:pPr>
      <w:r>
        <w:t xml:space="preserve">5. </w:t>
      </w:r>
      <w:r>
        <w:t>Reuse the output in later dropdowns.</w:t>
      </w:r>
    </w:p>
    <w:p>
      <w:pPr>
        <w:spacing w:after="120"/>
      </w:pPr>
      <w:r>
        <w:t>Most inputs are dropdowns. Routine free text is limited to the editable display name and optional symbol of a value. A small named-constant action is acceptable when a test specifically needs a literal number, but it must create a reusable variable rather than an untracked expression.</w:t>
      </w:r>
    </w:p>
    <w:p>
      <w:pPr>
        <w:pStyle w:val="Heading2"/>
        <w:keepNext/>
      </w:pPr>
      <w:r>
        <w:t>Variable naming and reuse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Value source</w:t>
            </w:r>
          </w:p>
        </w:tc>
        <w:tc>
          <w:tcPr>
            <w:tcW w:type="dxa" w:w="32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Automatic starting label</w:t>
            </w:r>
          </w:p>
        </w:tc>
        <w:tc>
          <w:tcPr>
            <w:tcW w:type="dxa" w:w="259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What Amy can edit</w:t>
            </w:r>
          </w:p>
        </w:tc>
        <w:tc>
          <w:tcPr>
            <w:tcW w:type="dxa" w:w="20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Available later</w:t>
            </w:r>
          </w:p>
        </w:tc>
      </w:tr>
      <w:tr>
        <w:tc>
          <w:tcPr>
            <w:tcW w:type="dxa" w:w="18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Given</w:t>
            </w:r>
          </w:p>
        </w:tc>
        <w:tc>
          <w:tcPr>
            <w:tcW w:type="dxa" w:w="32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Author-provided, e.g. Source current</w:t>
            </w:r>
          </w:p>
        </w:tc>
        <w:tc>
          <w:tcPr>
            <w:tcW w:type="dxa" w:w="259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Display name and symbol</w:t>
            </w:r>
          </w:p>
        </w:tc>
        <w:tc>
          <w:tcPr>
            <w:tcW w:type="dxa" w:w="20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Yes</w:t>
            </w:r>
          </w:p>
        </w:tc>
      </w:tr>
      <w:tr>
        <w:tc>
          <w:tcPr>
            <w:tcW w:type="dxa" w:w="18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Formula result</w:t>
            </w:r>
          </w:p>
        </w:tc>
        <w:tc>
          <w:tcPr>
            <w:tcW w:type="dxa" w:w="32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Output plus counter, e.g. Voltage 1 / V_1</w:t>
            </w:r>
          </w:p>
        </w:tc>
        <w:tc>
          <w:tcPr>
            <w:tcW w:type="dxa" w:w="259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Display name and symbol</w:t>
            </w:r>
          </w:p>
        </w:tc>
        <w:tc>
          <w:tcPr>
            <w:tcW w:type="dxa" w:w="20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Yes</w:t>
            </w:r>
          </w:p>
        </w:tc>
      </w:tr>
      <w:tr>
        <w:tc>
          <w:tcPr>
            <w:tcW w:type="dxa" w:w="18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Basic math or conversion</w:t>
            </w:r>
          </w:p>
        </w:tc>
        <w:tc>
          <w:tcPr>
            <w:tcW w:type="dxa" w:w="32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Result plus counter</w:t>
            </w:r>
          </w:p>
        </w:tc>
        <w:tc>
          <w:tcPr>
            <w:tcW w:type="dxa" w:w="259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Display name and symbol</w:t>
            </w:r>
          </w:p>
        </w:tc>
        <w:tc>
          <w:tcPr>
            <w:tcW w:type="dxa" w:w="20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Yes</w:t>
            </w:r>
          </w:p>
        </w:tc>
      </w:tr>
      <w:tr>
        <w:tc>
          <w:tcPr>
            <w:tcW w:type="dxa" w:w="18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Derivative</w:t>
            </w:r>
          </w:p>
        </w:tc>
        <w:tc>
          <w:tcPr>
            <w:tcW w:type="dxa" w:w="32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Expression-derived label</w:t>
            </w:r>
          </w:p>
        </w:tc>
        <w:tc>
          <w:tcPr>
            <w:tcW w:type="dxa" w:w="259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Display name and symbol</w:t>
            </w:r>
          </w:p>
        </w:tc>
        <w:tc>
          <w:tcPr>
            <w:tcW w:type="dxa" w:w="20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Yes as symbolic result</w:t>
            </w:r>
          </w:p>
        </w:tc>
      </w:tr>
    </w:tbl>
    <w:p>
      <w:pPr>
        <w:spacing w:after="40"/>
      </w:pPr>
    </w:p>
    <w:p>
      <w:pPr>
        <w:spacing w:after="120"/>
      </w:pPr>
      <w:r>
        <w:t>The runtime keeps an immutable internal variable ID even when the learner changes the label. Each future dropdown shows the editable name, symbol, value where numeric, and unit, for example: Voltage across R1 (V_R1) = 12 V.</w:t>
      </w:r>
    </w:p>
    <w:p>
      <w:pPr>
        <w:pStyle w:val="Heading2"/>
        <w:keepNext/>
      </w:pPr>
      <w:r>
        <w:t>Correct path and explanations</w:t>
      </w:r>
    </w:p>
    <w:p>
      <w:pPr>
        <w:spacing w:after="120"/>
      </w:pPr>
      <w:r>
        <w:t>The JSON file includes a complete ordered solutionPath. After Finish and reveal path, Amy can reveal one recommended step at a time or see all of them. The review shows her work beside the expected operation, inputs, result, units, and explanation. The app is not required to prove arbitrary algebraic alternatives or operate a live AI chatbot.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Required explanation field</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Purpose</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whyNow</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Why this operation is the next dependency. Example: differentiate first because the requested quantity is a slope at an instant.</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whatToNotice</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The wording or visual cue that identifies the method.</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whyThisOperation</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Why the formula, conversion, math action, or derivative fits.</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inputMeaning</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What selected values represent and where they came from.</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resultUse</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What the result unlocks next.</w:t>
            </w:r>
          </w:p>
        </w:tc>
      </w:tr>
      <w:tr>
        <w:tc>
          <w:tcPr>
            <w:tcW w:type="dxa" w:w="288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commonMistakes</w:t>
            </w:r>
          </w:p>
        </w:tc>
        <w:tc>
          <w:tcPr>
            <w:tcW w:type="dxa" w:w="684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Optional bounded mistakes relevant to the problem.</w:t>
            </w:r>
          </w:p>
        </w:tc>
      </w:tr>
    </w:tbl>
    <w:p>
      <w:pPr>
        <w:spacing w:after="40"/>
      </w:pPr>
    </w:p>
    <w:p>
      <w:pPr>
        <w:pStyle w:val="Heading1"/>
        <w:keepNext/>
      </w:pPr>
      <w:r>
        <w:t>Local test-file contract</w:t>
      </w:r>
    </w:p>
    <w:p>
      <w:pPr>
        <w:spacing w:after="120"/>
      </w:pPr>
      <w:r>
        <w:t>The supplied schema defines guided-test-file.local/v1. A test is a complete fixed test, not a parameterized profile or problem generator. It includes a formula sheet, allowed conversions, and one or more fully realized problems.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Entity</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Minimum role in the file</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TestFile</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Version, title, formulaSheet, conversions, and complete problems.</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Formula</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LaTex, named input slots, output, declarative numeric expression tree, and teaching notes.</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Problem</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Prompt, givens, target, allowed operations, visual, derivative actions, and solutionPath.</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SolutionStep</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Expected operation, source bindings, expected output or LaTex, and full teaching explanation.</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VisualSpec</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Typed LaTex-only, 2D SVG primitives, or constrained 3D scene data.</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DerivativeAction</w:t>
            </w:r>
          </w:p>
        </w:tc>
        <w:tc>
          <w:tcPr>
            <w:tcW w:type="dxa" w:w="748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Stored expression, differentiation variable, expected derivative, optional numerical evaluation, and teaching copy.</w:t>
            </w:r>
          </w:p>
        </w:tc>
      </w:tr>
    </w:tbl>
    <w:p>
      <w:pPr>
        <w:spacing w:after="40"/>
      </w:pPr>
    </w:p>
    <w:p>
      <w:pPr>
        <w:spacing w:after="120"/>
      </w:pPr>
      <w:r>
        <w:t>Formula calculations use a small, fixed expression tree: add, subtract, multiply, divide, power, negate, absolute value, and square root. The runtime must interpret this data and must not execute code embedded in JSON. This is a portability and reliability requirement, not a request for authentication or security infrastructure.</w:t>
      </w:r>
    </w:p>
    <w:p>
      <w:pPr>
        <w:spacing w:after="120"/>
      </w:pPr>
      <w:r>
        <w:t>LaTex must render from a library bundled locally with the delivered app; the runtime may not rely on a CDN. Visuals are declarative data: 2D diagrams use typed SVG primitives, and 3D scenes use fixed camera presets with axes, points, lines, arrows/vectors, planes, boxes, cylinders, and labels. No CAD tool, arbitrary mesh import, animation, simulation, or physics engine is required.</w:t>
      </w:r>
    </w:p>
    <w:p>
      <w:pPr>
        <w:pStyle w:val="Heading2"/>
        <w:keepNext/>
      </w:pPr>
      <w:r>
        <w:t>Subject-neutral reference fixtures</w:t>
      </w:r>
    </w:p>
    <w:p>
      <w:pPr>
        <w:spacing w:after="120"/>
      </w:pPr>
      <w:r>
        <w:t>The same generic runtime must load both supplied reference tests without branching on a course or subject name. The Mechanics of Materials fixture uses the existing file contract only: no mechanics-specific API, calculator operation, or renderer type is added. These are fixed client-provided fixtures, not a request for the contractor to create or randomize mechanics problems.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Fixed Mechanics problem</w:t>
            </w:r>
          </w:p>
        </w:tc>
        <w:tc>
          <w:tcPr>
            <w:tcW w:type="dxa" w:w="3671"/>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Existing contract features</w:t>
            </w:r>
          </w:p>
        </w:tc>
        <w:tc>
          <w:tcPr>
            <w:tcW w:type="dxa" w:w="381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What it proves</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Double-lap bolt group</w:t>
            </w:r>
          </w:p>
        </w:tc>
        <w:tc>
          <w:tcPr>
            <w:tcW w:type="dxa" w:w="3671"/>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Formula cards, kN-to-N conversion, reusable values, diagram2d/v1</w:t>
            </w:r>
          </w:p>
        </w:tc>
        <w:tc>
          <w:tcPr>
            <w:tcW w:type="dxa" w:w="381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Two shear planes per bolt are handled in guided dropdown steps and explained in review.</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Axial bar: elongation and strain</w:t>
            </w:r>
          </w:p>
        </w:tc>
        <w:tc>
          <w:tcPr>
            <w:tcW w:type="dxa" w:w="3671"/>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Formula cards, three declared conversions, reused outputs, scene3d/v1</w:t>
            </w:r>
          </w:p>
        </w:tc>
        <w:tc>
          <w:tcPr>
            <w:tcW w:type="dxa" w:w="381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The runtime can combine units, named values, and a static structural view without CAD.</w:t>
            </w:r>
          </w:p>
        </w:tc>
      </w:tr>
      <w:tr>
        <w:tc>
          <w:tcPr>
            <w:tcW w:type="dxa" w:w="2232"/>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Bilinear shear unloading</w:t>
            </w:r>
          </w:p>
        </w:tc>
        <w:tc>
          <w:tcPr>
            <w:tcW w:type="dxa" w:w="3671"/>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Formula cards, built-in add/subtract, reusable values, diagram2d/v1</w:t>
            </w:r>
          </w:p>
        </w:tc>
        <w:tc>
          <w:tcPr>
            <w:tcW w:type="dxa" w:w="3816"/>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The review explains yield, post-yield accumulation, elastic recovery, and residual strain.</w:t>
            </w:r>
          </w:p>
        </w:tc>
      </w:tr>
    </w:tbl>
    <w:p>
      <w:pPr>
        <w:spacing w:after="40"/>
      </w:pPr>
    </w:p>
    <w:p>
      <w:pPr>
        <w:pStyle w:val="Heading1"/>
        <w:keepNext/>
      </w:pPr>
      <w:r>
        <w:t>Required deliverables</w:t>
      </w:r>
    </w:p>
    <w:p>
      <w:pPr>
        <w:spacing w:after="40"/>
        <w:ind w:left="547" w:hanging="389"/>
      </w:pPr>
      <w:r>
        <w:t xml:space="preserve">• </w:t>
      </w:r>
      <w:r>
        <w:t>A double-click runtime. A self-contained index.html is preferred; if a build system is used, the delivered dist output must still open offline with no install step.</w:t>
      </w:r>
    </w:p>
    <w:p>
      <w:pPr>
        <w:spacing w:after="40"/>
        <w:ind w:left="547" w:hanging="389"/>
      </w:pPr>
      <w:r>
        <w:t xml:space="preserve">• </w:t>
      </w:r>
      <w:r>
        <w:t>Readable source in a client-owned Git repository and a reproducible build command for the click-to-run output.</w:t>
      </w:r>
    </w:p>
    <w:p>
      <w:pPr>
        <w:spacing w:after="40"/>
        <w:ind w:left="547" w:hanging="389"/>
      </w:pPr>
      <w:r>
        <w:t xml:space="preserve">• </w:t>
      </w:r>
      <w:r>
        <w:t>The JSON schema, concise field documentation, and friendly local validation errors.</w:t>
      </w:r>
    </w:p>
    <w:p>
      <w:pPr>
        <w:spacing w:after="40"/>
        <w:ind w:left="547" w:hanging="389"/>
      </w:pPr>
      <w:r>
        <w:t xml:space="preserve">• </w:t>
      </w:r>
      <w:r>
        <w:t>Support and validate two supplied reference tests. ENGR 206 shows formula use, basic math, conversion, derivative action, typed 2D, and constrained 3D. Mechanics of Materials contains a double-lap bolt group, axial-bar elongation and strain, and bilinear shear unloading with residual strain. The contractor does not generate additional content.</w:t>
      </w:r>
    </w:p>
    <w:p>
      <w:pPr>
        <w:spacing w:after="40"/>
        <w:ind w:left="547" w:hanging="389"/>
      </w:pPr>
      <w:r>
        <w:t xml:space="preserve">• </w:t>
      </w:r>
      <w:r>
        <w:t>Home/load screen, timer, dropdown step builder, automatic calculations, variable naming and reuse, reveal-and-review solution path, reset, and README instructions for Amy and Brent.</w:t>
      </w:r>
    </w:p>
    <w:p>
      <w:pPr>
        <w:pStyle w:val="Heading1"/>
        <w:keepNext/>
      </w:pPr>
      <w:r>
        <w:t>Explicitly excluded</w:t>
      </w:r>
    </w:p>
    <w:p>
      <w:pPr>
        <w:spacing w:after="40"/>
        <w:ind w:left="547" w:hanging="389"/>
      </w:pPr>
      <w:r>
        <w:t xml:space="preserve">• </w:t>
      </w:r>
      <w:r>
        <w:t>Hosting, domains, deployment, server APIs, database, sign-in, roles, cloud storage, sync, or analytics.</w:t>
      </w:r>
    </w:p>
    <w:p>
      <w:pPr>
        <w:spacing w:after="40"/>
        <w:ind w:left="547" w:hanging="389"/>
      </w:pPr>
      <w:r>
        <w:t xml:space="preserve">• </w:t>
      </w:r>
      <w:r>
        <w:t>In-app problem generation, randomization, profile publishing, source-material ingestion, OCR, or visual test editor.</w:t>
      </w:r>
    </w:p>
    <w:p>
      <w:pPr>
        <w:spacing w:after="40"/>
        <w:ind w:left="547" w:hanging="389"/>
      </w:pPr>
      <w:r>
        <w:t xml:space="preserve">• </w:t>
      </w:r>
      <w:r>
        <w:t>ChatGPT API integration, live chat tutoring, prompt logging, external AI usage, subscriptions, or billing.</w:t>
      </w:r>
    </w:p>
    <w:p>
      <w:pPr>
        <w:spacing w:after="40"/>
        <w:ind w:left="547" w:hanging="389"/>
      </w:pPr>
      <w:r>
        <w:t xml:space="preserve">• </w:t>
      </w:r>
      <w:r>
        <w:t>LMS integration, public sharing, multi-student operation, grade export, proctoring, payment, or mobile apps.</w:t>
      </w:r>
    </w:p>
    <w:p>
      <w:pPr>
        <w:spacing w:after="40"/>
        <w:ind w:left="547" w:hanging="389"/>
      </w:pPr>
      <w:r>
        <w:t xml:space="preserve">• </w:t>
      </w:r>
      <w:r>
        <w:t>Free-form proof grading, handwritten work, general CAS, arbitrary equation equivalence, CAD import, or simulation.</w:t>
      </w:r>
    </w:p>
    <w:p>
      <w:pPr>
        <w:pStyle w:val="Heading1"/>
        <w:keepNext/>
      </w:pPr>
      <w:r>
        <w:t>Acceptance criteria</w:t>
      </w:r>
    </w:p>
    <w:p>
      <w:pPr>
        <w:spacing w:after="40"/>
        <w:ind w:left="547" w:hanging="389"/>
      </w:pPr>
      <w:r>
        <w:t xml:space="preserve">1. </w:t>
      </w:r>
      <w:r>
        <w:t>With network disabled, Amy can double-click index.html and see the home screen without a server or installation.</w:t>
      </w:r>
    </w:p>
    <w:p>
      <w:pPr>
        <w:spacing w:after="40"/>
        <w:ind w:left="547" w:hanging="389"/>
      </w:pPr>
      <w:r>
        <w:t xml:space="preserve">2. </w:t>
      </w:r>
      <w:r>
        <w:t>She can load either supplied reference JSON (ENGR 206 or Mechanics of Materials) with the file picker and gets an understandable error for an invalid file.</w:t>
      </w:r>
    </w:p>
    <w:p>
      <w:pPr>
        <w:spacing w:after="40"/>
        <w:ind w:left="547" w:hanging="389"/>
      </w:pPr>
      <w:r>
        <w:t xml:space="preserve">3. </w:t>
      </w:r>
      <w:r>
        <w:t>She can select a problem and start, pause, and finish its elapsed timer.</w:t>
      </w:r>
    </w:p>
    <w:p>
      <w:pPr>
        <w:spacing w:after="40"/>
        <w:ind w:left="547" w:hanging="389"/>
      </w:pPr>
      <w:r>
        <w:t xml:space="preserve">4. </w:t>
      </w:r>
      <w:r>
        <w:t>Prompts, givens, local LaTex, formula sheet, and typed 2D visuals render offline. The Mechanics double-lap fixture renders, and its axial-bar scene3d/v1 fixture renders its axes, box, arrow, labels, and declared camera view.</w:t>
      </w:r>
    </w:p>
    <w:p>
      <w:pPr>
        <w:spacing w:after="40"/>
        <w:ind w:left="547" w:hanging="389"/>
      </w:pPr>
      <w:r>
        <w:t xml:space="preserve">5. </w:t>
      </w:r>
      <w:r>
        <w:t>She can select a formula and its inputs from dropdowns containing givens and earlier outputs, then calculate the result.</w:t>
      </w:r>
    </w:p>
    <w:p>
      <w:pPr>
        <w:spacing w:after="40"/>
        <w:ind w:left="547" w:hanging="389"/>
      </w:pPr>
      <w:r>
        <w:t xml:space="preserve">6. </w:t>
      </w:r>
      <w:r>
        <w:t>The output is automatically named, can be renamed, and appears under its new name in a later dropdown.</w:t>
      </w:r>
    </w:p>
    <w:p>
      <w:pPr>
        <w:spacing w:after="40"/>
        <w:ind w:left="547" w:hanging="389"/>
      </w:pPr>
      <w:r>
        <w:t xml:space="preserve">7. </w:t>
      </w:r>
      <w:r>
        <w:t>She can complete basic arithmetic, one declared conversion, and one pre-authored derivative action without manually entering a calculation.</w:t>
      </w:r>
    </w:p>
    <w:p>
      <w:pPr>
        <w:spacing w:after="40"/>
        <w:ind w:left="547" w:hanging="389"/>
      </w:pPr>
      <w:r>
        <w:t xml:space="preserve">8. </w:t>
      </w:r>
      <w:r>
        <w:t>Finish and reveal path stops the timer and reveals all approved steps and their explanation fields.</w:t>
      </w:r>
    </w:p>
    <w:p>
      <w:pPr>
        <w:spacing w:after="40"/>
        <w:ind w:left="547" w:hanging="389"/>
      </w:pPr>
      <w:r>
        <w:t xml:space="preserve">9. </w:t>
      </w:r>
      <w:r>
        <w:t>Reset clears only the current attempt; loading a new test cleanly replaces the old one.</w:t>
      </w:r>
    </w:p>
    <w:p>
      <w:pPr>
        <w:pStyle w:val="Heading1"/>
        <w:keepNext/>
      </w:pPr>
      <w:r>
        <w:t>Milestones and commercial structure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Milestone</w:t>
            </w:r>
          </w:p>
        </w:tc>
        <w:tc>
          <w:tcPr>
            <w:tcW w:type="dxa" w:w="54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Deliverable and acceptance gate</w:t>
            </w:r>
          </w:p>
        </w:tc>
        <w:tc>
          <w:tcPr>
            <w:tcW w:type="dxa" w:w="136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Target effort</w:t>
            </w:r>
          </w:p>
        </w:tc>
        <w:tc>
          <w:tcPr>
            <w:tcW w:type="dxa" w:w="100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vAlign w:val="center"/>
          </w:tcPr>
          <w:p>
            <w:pPr>
              <w:jc w:val="left"/>
            </w:pPr>
            <w:r>
              <w:rPr>
                <w:b/>
                <w:color w:val="FFFFFF"/>
                <w:sz w:val="19"/>
              </w:rPr>
              <w:t>Payment</w:t>
            </w:r>
          </w:p>
        </w:tc>
      </w:tr>
      <w:tr>
        <w:tc>
          <w:tcPr>
            <w:tcW w:type="dxa" w:w="1944"/>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0. File contract and shell</w:t>
            </w:r>
          </w:p>
        </w:tc>
        <w:tc>
          <w:tcPr>
            <w:tcW w:type="dxa" w:w="54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Schema, two supplied reference tests, click-to-open home screen, file loading, one rendered problem, and architecture note.</w:t>
            </w:r>
          </w:p>
        </w:tc>
        <w:tc>
          <w:tcPr>
            <w:tcW w:type="dxa" w:w="136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10-16 hours</w:t>
            </w:r>
          </w:p>
        </w:tc>
        <w:tc>
          <w:tcPr>
            <w:tcW w:type="dxa" w:w="100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20%</w:t>
            </w:r>
          </w:p>
        </w:tc>
      </w:tr>
      <w:tr>
        <w:tc>
          <w:tcPr>
            <w:tcW w:type="dxa" w:w="1944"/>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b/>
                <w:sz w:val="19"/>
              </w:rPr>
              <w:t>1. Guided local runtime</w:t>
            </w:r>
          </w:p>
        </w:tc>
        <w:tc>
          <w:tcPr>
            <w:tcW w:type="dxa" w:w="54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Timer, formula/basic-math/conversion dropdowns, calculation engine, variable naming/reuse, and review path.</w:t>
            </w:r>
          </w:p>
        </w:tc>
        <w:tc>
          <w:tcPr>
            <w:tcW w:type="dxa" w:w="136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24-38 hours</w:t>
            </w:r>
          </w:p>
        </w:tc>
        <w:tc>
          <w:tcPr>
            <w:tcW w:type="dxa" w:w="100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9FB"/>
            <w:vAlign w:val="center"/>
          </w:tcPr>
          <w:p>
            <w:pPr>
              <w:jc w:val="left"/>
            </w:pPr>
            <w:r>
              <w:rPr>
                <w:sz w:val="19"/>
              </w:rPr>
              <w:t>50%</w:t>
            </w:r>
          </w:p>
        </w:tc>
      </w:tr>
      <w:tr>
        <w:tc>
          <w:tcPr>
            <w:tcW w:type="dxa" w:w="1944"/>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b/>
                <w:sz w:val="19"/>
              </w:rPr>
              <w:t>2. Rendering and handoff</w:t>
            </w:r>
          </w:p>
        </w:tc>
        <w:tc>
          <w:tcPr>
            <w:tcW w:type="dxa" w:w="5400"/>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Local LaTex, typed 2D and constrained 3D adapters, derivative action, fixtures, cross-browser QA, source, and README.</w:t>
            </w:r>
          </w:p>
        </w:tc>
        <w:tc>
          <w:tcPr>
            <w:tcW w:type="dxa" w:w="1368"/>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18-30 hours</w:t>
            </w:r>
          </w:p>
        </w:tc>
        <w:tc>
          <w:tcPr>
            <w:tcW w:type="dxa" w:w="1007"/>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sz w:val="19"/>
              </w:rPr>
              <w:t>30%</w:t>
            </w:r>
          </w:p>
        </w:tc>
      </w:tr>
    </w:tbl>
    <w:p>
      <w:pPr>
        <w:spacing w:after="40"/>
      </w:pPr>
    </w:p>
    <w:p>
      <w:pPr>
        <w:spacing w:after="120"/>
      </w:pPr>
      <w:r>
        <w:t>Expected effort is approximately 52 to 84 senior front-end hours, excluding the ongoing work of creating and reviewing test JSON files. This should be materially less expensive than a hosted-platform proposal because it contains no backend, accounts, deployment, database, AI service, or content generator.</w:t>
      </w:r>
    </w:p>
    <w:p>
      <w:r>
        <w:br w:type="page"/>
      </w:r>
    </w:p>
    <w:p>
      <w:pPr>
        <w:pStyle w:val="Heading1"/>
        <w:keepNext/>
      </w:pPr>
      <w:r>
        <w:t>Recommended contract terms</w:t>
      </w:r>
    </w:p>
    <w:p>
      <w:pPr>
        <w:spacing w:after="40"/>
        <w:ind w:left="547" w:hanging="389"/>
      </w:pPr>
      <w:r>
        <w:t xml:space="preserve">• </w:t>
      </w:r>
      <w:r>
        <w:t>Pay each milestone after its acceptance gate is demonstrated on a normal offline machine.</w:t>
      </w:r>
    </w:p>
    <w:p>
      <w:pPr>
        <w:spacing w:after="40"/>
        <w:ind w:left="547" w:hanging="389"/>
      </w:pPr>
      <w:r>
        <w:t xml:space="preserve">• </w:t>
      </w:r>
      <w:r>
        <w:t>Use a written change order before any excluded feature begins.</w:t>
      </w:r>
    </w:p>
    <w:p>
      <w:pPr>
        <w:spacing w:after="40"/>
        <w:ind w:left="547" w:hanging="389"/>
      </w:pPr>
      <w:r>
        <w:t xml:space="preserve">• </w:t>
      </w:r>
      <w:r>
        <w:t>Brent owns custom source, schema, reference content, build output, and documentation after full payment.</w:t>
      </w:r>
    </w:p>
    <w:p>
      <w:pPr>
        <w:spacing w:after="40"/>
        <w:ind w:left="547" w:hanging="389"/>
      </w:pPr>
      <w:r>
        <w:t xml:space="preserve">• </w:t>
      </w:r>
      <w:r>
        <w:t>Keep the source in a client-owned private repository from day one, with no undisclosed proprietary service required to open a test offline.</w:t>
      </w:r>
    </w:p>
    <w:p>
      <w:pPr>
        <w:spacing w:after="40"/>
        <w:ind w:left="547" w:hanging="389"/>
      </w:pPr>
      <w:r>
        <w:t xml:space="preserve">• </w:t>
      </w:r>
      <w:r>
        <w:t>Include a 14-calendar-day window to fix reproducible in-scope defects after final acceptance.</w:t>
      </w:r>
    </w:p>
    <w:p>
      <w:pPr>
        <w:pStyle w:val="Heading1"/>
        <w:keepNext/>
      </w:pPr>
      <w:r>
        <w:t>Candidate questions</w:t>
      </w:r>
    </w:p>
    <w:p>
      <w:pPr>
        <w:spacing w:after="40"/>
        <w:ind w:left="547" w:hanging="389"/>
      </w:pPr>
      <w:r>
        <w:t xml:space="preserve">1. </w:t>
      </w:r>
      <w:r>
        <w:t>Show how index.html will work when opened under file:// and load local JSON with FileReader rather than fetch.</w:t>
      </w:r>
    </w:p>
    <w:p>
      <w:pPr>
        <w:spacing w:after="40"/>
        <w:ind w:left="547" w:hanging="389"/>
      </w:pPr>
      <w:r>
        <w:t xml:space="preserve">2. </w:t>
      </w:r>
      <w:r>
        <w:t>Explain how you will bundle LaTex locally and leave a double-clickable final output.</w:t>
      </w:r>
    </w:p>
    <w:p>
      <w:pPr>
        <w:spacing w:after="40"/>
        <w:ind w:left="547" w:hanging="389"/>
      </w:pPr>
      <w:r>
        <w:t xml:space="preserve">3. </w:t>
      </w:r>
      <w:r>
        <w:t>Show a small formula-expression interface that supports generated JSON without executable code.</w:t>
      </w:r>
    </w:p>
    <w:p>
      <w:pPr>
        <w:spacing w:after="40"/>
        <w:ind w:left="547" w:hanging="389"/>
      </w:pPr>
      <w:r>
        <w:t xml:space="preserve">4. </w:t>
      </w:r>
      <w:r>
        <w:t>Explain how immutable variable IDs support rename and reuse cleanly.</w:t>
      </w:r>
    </w:p>
    <w:p>
      <w:pPr>
        <w:spacing w:after="40"/>
        <w:ind w:left="547" w:hanging="389"/>
      </w:pPr>
      <w:r>
        <w:t xml:space="preserve">5. </w:t>
      </w:r>
      <w:r>
        <w:t>Show how you would render a constrained 3D scene from text data without building a CAD application.</w:t>
      </w:r>
    </w:p>
    <w:p>
      <w:pPr>
        <w:spacing w:after="40"/>
        <w:ind w:left="547" w:hanging="389"/>
      </w:pPr>
      <w:r>
        <w:t xml:space="preserve">6. </w:t>
      </w:r>
      <w:r>
        <w:t>Explain how one generic runtime will load both subject fixtures without a mechanics-specific branch, while proving offline loading, timer behavior, variable reuse, solution reveal, and the 2D/3D adapters.</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7"/>
      </w:rPr>
      <w:t>Guided Test Prep Local Offline Statement of Work  |  Revision 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Test Prep Local Offline Statement of Work</dc:title>
  <dc:subject>Offline guided test prep runtime and test file contract</dc:subject>
  <dc:creator>Brent</dc:creator>
  <cp:keywords/>
  <dc:description>generated by python-docx</dc:description>
  <cp:lastModifiedBy/>
  <cp:revision>1</cp:revision>
  <dcterms:created xsi:type="dcterms:W3CDTF">2013-12-23T23:15:00Z</dcterms:created>
  <dcterms:modified xsi:type="dcterms:W3CDTF">2013-12-23T23:15:00Z</dcterms:modified>
  <cp:category/>
</cp:coreProperties>
</file>