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PCA Analysis: Three-Dimensional and Two-Dimensional Plots of Top Three PCA Components</w:t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Three-Dimensional Plot of Top Three PCA components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top three PCA components</w:t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1 Component vs. PCA 2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1 Component vs. PCA 3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2 Component vs. PCA 3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The principal component analysis (PCA) plots are generated using R scripts from the Division of Translational Toxicology, NIEHS. The three 2-dimensional PCA plots and the 3-dimensional PCA plot are created using tidyverse R library and plotly R library, respectively. The original R code was modified to output the expected format of the PCA plots.</w:t>
      </w:r>
      <w:r>
        <w:br w:type="textWrapping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b3a46c9f1da25a894da9d8bd5297cf5d1891d3f.png"/>
<Relationship Id="rId8" Type="http://schemas.openxmlformats.org/officeDocument/2006/relationships/image" Target="media/c560f0bcd5385ab23b70ee3d4aa516a33aded07c.png"/>
<Relationship Id="rId9" Type="http://schemas.openxmlformats.org/officeDocument/2006/relationships/image" Target="media/e68e74171653b1fc6d91e51f3b43662ab6f74337.png"/>
<Relationship Id="rId10" Type="http://schemas.openxmlformats.org/officeDocument/2006/relationships/image" Target="media/120cd769defe2c425d5ed506eeca63da1b5fb19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2026-09-01T13:44:13Z</dcterms:modified>
  <cp:category/>
</cp:coreProperties>
</file>