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34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bCs w:val="0"/>
          <w:kern w:val="2"/>
          <w:sz w:val="21"/>
          <w:szCs w:val="24"/>
          <w:lang w:val="en-US" w:eastAsia="zh-CN" w:bidi="ar-SA"/>
        </w:rPr>
      </w:sdtEndPr>
      <w:sdtContent>
        <w:p w14:paraId="2D53F02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44"/>
              <w:szCs w:val="44"/>
            </w:rPr>
            <w:t>目录</w:t>
          </w:r>
        </w:p>
        <w:p w14:paraId="61C7B962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 w:val="0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lang w:val="en-US" w:eastAsia="zh-CN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b w:val="0"/>
              <w:bCs w:val="0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_Toc12759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lang w:val="en-US" w:eastAsia="zh-CN"/>
            </w:rPr>
            <w:t>1、引入DSP库</w:t>
          </w:r>
          <w:r>
            <w:tab/>
          </w:r>
          <w:r>
            <w:fldChar w:fldCharType="begin"/>
          </w:r>
          <w:r>
            <w:instrText xml:space="preserve"> PAGEREF _Toc12759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31B54CD4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_Toc17111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2、开启外部晶振</w:t>
          </w:r>
          <w:r>
            <w:tab/>
          </w:r>
          <w:r>
            <w:fldChar w:fldCharType="begin"/>
          </w:r>
          <w:r>
            <w:instrText xml:space="preserve"> PAGEREF _Toc17111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33DC3A70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_Toc27689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3、时钟源设置</w:t>
          </w:r>
          <w:r>
            <w:tab/>
          </w:r>
          <w:r>
            <w:fldChar w:fldCharType="begin"/>
          </w:r>
          <w:r>
            <w:instrText xml:space="preserve"> PAGEREF _Toc27689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1B908FE3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_Toc19053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4、SWD接口配置</w:t>
          </w:r>
          <w:r>
            <w:tab/>
          </w:r>
          <w:r>
            <w:fldChar w:fldCharType="begin"/>
          </w:r>
          <w:r>
            <w:instrText xml:space="preserve"> PAGEREF _Toc19053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58F4889D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_Toc4965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5、串口配置</w:t>
          </w:r>
          <w:r>
            <w:tab/>
          </w:r>
          <w:r>
            <w:fldChar w:fldCharType="begin"/>
          </w:r>
          <w:r>
            <w:instrText xml:space="preserve"> PAGEREF _Toc4965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2E260190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_Toc30181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6、LED灯配置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623F8C28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_Toc7196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7、定时器配置</w:t>
          </w:r>
          <w:r>
            <w:tab/>
          </w:r>
          <w:r>
            <w:fldChar w:fldCharType="begin"/>
          </w:r>
          <w:r>
            <w:instrText xml:space="preserve"> PAGEREF _Toc7196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49E06EDF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_Toc28293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8、ADC配置</w:t>
          </w:r>
          <w:r>
            <w:tab/>
          </w:r>
          <w:r>
            <w:fldChar w:fldCharType="begin"/>
          </w:r>
          <w:r>
            <w:instrText xml:space="preserve"> PAGEREF _Toc28293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24A9AD89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_Toc23951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9、ADC中断配置</w:t>
          </w:r>
          <w:r>
            <w:tab/>
          </w:r>
          <w:r>
            <w:fldChar w:fldCharType="begin"/>
          </w:r>
          <w:r>
            <w:instrText xml:space="preserve"> PAGEREF _Toc23951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17D4D843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_Toc32083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10、TFT屏幕（ST7789V，即SPI配置）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55E3019A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_Toc14413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11、I2C（AS5600）设置</w:t>
          </w:r>
          <w:r>
            <w:tab/>
          </w:r>
          <w:r>
            <w:fldChar w:fldCharType="begin"/>
          </w:r>
          <w:r>
            <w:instrText xml:space="preserve"> PAGEREF _Toc14413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0A4D2F45">
          <w:pPr>
            <w:pStyle w:val="2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instrText xml:space="preserve"> HYPERLINK \l _Toc21950 </w:instrText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separate"/>
          </w:r>
          <w:r>
            <w:rPr>
              <w:rFonts w:hint="eastAsia" w:ascii="Times New Roman" w:hAnsi="Times New Roman" w:cs="Times New Roman"/>
              <w:bCs/>
              <w:lang w:val="en-US" w:eastAsia="zh-CN"/>
            </w:rPr>
            <w:t>12、Hal库bug</w:t>
          </w:r>
          <w:r>
            <w:tab/>
          </w:r>
          <w:r>
            <w:fldChar w:fldCharType="begin"/>
          </w:r>
          <w:r>
            <w:instrText xml:space="preserve"> PAGEREF _Toc21950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  <w:p w14:paraId="08558548">
          <w:pPr>
            <w:rPr>
              <w:rFonts w:hint="default" w:ascii="Times New Roman" w:hAnsi="Times New Roman" w:cs="Times New Roman" w:eastAsiaTheme="minorEastAsia"/>
              <w:bCs w:val="0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  <w:bCs w:val="0"/>
              <w:lang w:val="en-US" w:eastAsia="zh-CN"/>
            </w:rPr>
            <w:fldChar w:fldCharType="end"/>
          </w:r>
        </w:p>
      </w:sdtContent>
    </w:sdt>
    <w:p w14:paraId="7C42CDC6">
      <w:pPr>
        <w:rPr>
          <w:rFonts w:hint="default" w:ascii="Times New Roman" w:hAnsi="Times New Roman" w:cs="Times New Roman" w:eastAsiaTheme="minorEastAsia"/>
          <w:bCs w:val="0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4FC144F">
      <w:pPr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0" w:name="_Toc12759"/>
      <w:r>
        <w:rPr>
          <w:rFonts w:hint="default" w:ascii="Times New Roman" w:hAnsi="Times New Roman" w:cs="Times New Roman"/>
          <w:b/>
          <w:bCs/>
          <w:lang w:val="en-US" w:eastAsia="zh-CN"/>
        </w:rPr>
        <w:t>1、引入DSP库</w:t>
      </w:r>
      <w:bookmarkEnd w:id="0"/>
    </w:p>
    <w:p w14:paraId="0B1DCAB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（1）STM32CubeMX中的设置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202"/>
      </w:tblGrid>
      <w:tr w14:paraId="7498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5" w:hRule="atLeast"/>
        </w:trPr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7A5C3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642235" cy="1416050"/>
                  <wp:effectExtent l="0" t="0" r="12065" b="6350"/>
                  <wp:docPr id="17547806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78062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23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71AEF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74925" cy="1447800"/>
                  <wp:effectExtent l="0" t="0" r="317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89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466D9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3880485" cy="2080260"/>
                  <wp:effectExtent l="0" t="0" r="5715" b="2540"/>
                  <wp:docPr id="242289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893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85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54E20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（2）Keil中的设置</w:t>
      </w:r>
    </w:p>
    <w:p w14:paraId="6264A0C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①配置CMSIS</w:t>
      </w:r>
    </w:p>
    <w:p w14:paraId="05D0206B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028440" cy="340995"/>
            <wp:effectExtent l="0" t="0" r="10160" b="1905"/>
            <wp:docPr id="6123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249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CD29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031615" cy="2889885"/>
            <wp:effectExtent l="0" t="0" r="6985" b="5715"/>
            <wp:docPr id="17160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563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FD95">
      <w:pPr>
        <w:spacing w:line="240" w:lineRule="auto"/>
        <w:jc w:val="left"/>
        <w:rPr>
          <w:rFonts w:hint="eastAsia" w:ascii="Times New Roman" w:hAnsi="Times New Roman" w:eastAsia="宋体" w:cs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0D83722">
      <w:pPr>
        <w:spacing w:line="240" w:lineRule="auto"/>
        <w:jc w:val="left"/>
        <w:rPr>
          <w:rFonts w:hint="eastAsia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lang w:val="en-US" w:eastAsia="zh-CN"/>
        </w:rPr>
        <w:t>②路径设置：</w:t>
      </w:r>
    </w:p>
    <w:p w14:paraId="1B8EFBD5">
      <w:pPr>
        <w:spacing w:line="240" w:lineRule="auto"/>
        <w:jc w:val="left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每次从Cubemx生成都要删除掉DSP的这个Path：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51A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534F3">
            <w:pPr>
              <w:spacing w:line="240" w:lineRule="auto"/>
              <w:jc w:val="center"/>
              <w:rPr>
                <w:rFonts w:hint="eastAsia" w:ascii="Times New Roman" w:hAnsi="Times New Roman" w:eastAsia="宋体" w:cs="宋体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261235" cy="1537970"/>
                  <wp:effectExtent l="0" t="0" r="12065" b="11430"/>
                  <wp:docPr id="137003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0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5" cy="153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8ED3B">
            <w:pPr>
              <w:spacing w:line="240" w:lineRule="auto"/>
              <w:jc w:val="center"/>
              <w:rPr>
                <w:rFonts w:hint="eastAsia" w:ascii="Times New Roman" w:hAnsi="Times New Roman" w:eastAsia="宋体" w:cs="宋体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261235" cy="1538605"/>
                  <wp:effectExtent l="0" t="0" r="12065" b="10795"/>
                  <wp:docPr id="368752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5249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235" cy="153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8D89AC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③编译器警告处理：</w:t>
      </w:r>
    </w:p>
    <w:p w14:paraId="6AA7433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魔术棒里加入--diag_suppress=2803,1,1035，编译器在编译代码时会忽略低级别的警告。</w:t>
      </w:r>
    </w:p>
    <w:p w14:paraId="60CE57F4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④main.c文件中引入头文件</w:t>
      </w:r>
    </w:p>
    <w:p w14:paraId="0F9770F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main.c里面添加：</w:t>
      </w:r>
    </w:p>
    <w:p w14:paraId="0103282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"stdio.h"</w:t>
      </w:r>
    </w:p>
    <w:p w14:paraId="27A267D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"arm_math.h"</w:t>
      </w:r>
    </w:p>
    <w:p w14:paraId="0BB5F52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"arm_const_structs.h"</w:t>
      </w:r>
    </w:p>
    <w:p w14:paraId="54762CD6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2157613F">
      <w:pPr>
        <w:jc w:val="both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1" w:name="_Toc17111"/>
      <w:r>
        <w:rPr>
          <w:rFonts w:hint="eastAsia" w:ascii="Times New Roman" w:hAnsi="Times New Roman" w:cs="Times New Roman"/>
          <w:b/>
          <w:bCs/>
          <w:lang w:val="en-US" w:eastAsia="zh-CN"/>
        </w:rPr>
        <w:t>2、开启外部晶振</w:t>
      </w:r>
      <w:bookmarkEnd w:id="1"/>
    </w:p>
    <w:p w14:paraId="7B245446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597910" cy="1093470"/>
            <wp:effectExtent l="0" t="0" r="8890" b="11430"/>
            <wp:docPr id="1099775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7551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98C3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（1）Crystal/Ceramic Resonator：晶体/陶瓷谐振器；</w:t>
      </w:r>
    </w:p>
    <w:p w14:paraId="7A35F900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（2）BYPASS Clock Source：旁路时钟源（内部时钟源）；</w:t>
      </w:r>
    </w:p>
    <w:p w14:paraId="287F590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（3）</w:t>
      </w:r>
      <w:r>
        <w:rPr>
          <w:rFonts w:hint="default" w:ascii="Times New Roman" w:hAnsi="Times New Roman" w:cs="Times New Roman"/>
          <w:lang w:val="en-US" w:eastAsia="zh-CN"/>
        </w:rPr>
        <w:t>Master Clock Output（MCO）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允许将内部时钟信号（如系统时钟、PLL时钟或外部晶振时钟）输出到指定的GPIO引脚上。通常用于为外部设备提供时钟信号，实现时钟同步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2E522DF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（4）</w:t>
      </w:r>
      <w:r>
        <w:rPr>
          <w:rFonts w:hint="default" w:ascii="Times New Roman" w:hAnsi="Times New Roman" w:cs="Times New Roman"/>
          <w:lang w:val="en-US" w:eastAsia="zh-CN"/>
        </w:rPr>
        <w:t xml:space="preserve">Audio Clock Input (2S CkIN) 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允许从外部输入音频时钟信号。该功能通常用于I2S（Inter-IC Sound）接口，用于同步音频数据传输。</w:t>
      </w:r>
    </w:p>
    <w:p w14:paraId="0755A0D5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67DD0A52">
      <w:pPr>
        <w:jc w:val="both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2" w:name="_Toc27689"/>
      <w:r>
        <w:rPr>
          <w:rFonts w:hint="eastAsia" w:ascii="Times New Roman" w:hAnsi="Times New Roman" w:cs="Times New Roman"/>
          <w:b/>
          <w:bCs/>
          <w:lang w:val="en-US" w:eastAsia="zh-CN"/>
        </w:rPr>
        <w:t>3、时钟源设置</w:t>
      </w:r>
      <w:bookmarkEnd w:id="2"/>
    </w:p>
    <w:p w14:paraId="236CBCD8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689350" cy="1977390"/>
            <wp:effectExtent l="0" t="0" r="6350" b="3810"/>
            <wp:docPr id="512969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6929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05E8">
      <w:pPr>
        <w:jc w:val="center"/>
        <w:rPr>
          <w:rFonts w:hint="default" w:ascii="Times New Roman" w:hAnsi="Times New Roman" w:cs="Times New Roman"/>
          <w:lang w:val="en-US" w:eastAsia="zh-CN"/>
        </w:rPr>
      </w:pPr>
    </w:p>
    <w:p w14:paraId="49F49070">
      <w:pPr>
        <w:jc w:val="both"/>
        <w:outlineLvl w:val="0"/>
        <w:rPr>
          <w:rFonts w:hint="eastAsia" w:ascii="Times New Roman" w:hAnsi="Times New Roman" w:cs="Times New Roman"/>
          <w:lang w:val="en-US" w:eastAsia="zh-CN"/>
        </w:rPr>
      </w:pPr>
      <w:bookmarkStart w:id="3" w:name="_Toc19053"/>
      <w:r>
        <w:rPr>
          <w:rFonts w:hint="eastAsia" w:ascii="Times New Roman" w:hAnsi="Times New Roman" w:cs="Times New Roman"/>
          <w:b/>
          <w:bCs/>
          <w:lang w:val="en-US" w:eastAsia="zh-CN"/>
        </w:rPr>
        <w:t>4、SWD接口配置</w:t>
      </w:r>
      <w:bookmarkEnd w:id="3"/>
    </w:p>
    <w:p w14:paraId="4F8EA12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721100" cy="1094105"/>
            <wp:effectExtent l="0" t="0" r="0" b="10795"/>
            <wp:docPr id="164138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485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04F5">
      <w:pPr>
        <w:jc w:val="both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</w:p>
    <w:p w14:paraId="5949A492">
      <w:pPr>
        <w:jc w:val="both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4" w:name="_Toc4965"/>
      <w:r>
        <w:rPr>
          <w:rFonts w:hint="eastAsia" w:ascii="Times New Roman" w:hAnsi="Times New Roman" w:cs="Times New Roman"/>
          <w:b/>
          <w:bCs/>
          <w:lang w:val="en-US" w:eastAsia="zh-CN"/>
        </w:rPr>
        <w:t>5、串口配置</w:t>
      </w:r>
      <w:bookmarkEnd w:id="4"/>
    </w:p>
    <w:p w14:paraId="7916C696">
      <w:p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（1）模式选择</w:t>
      </w:r>
    </w:p>
    <w:p w14:paraId="5AD59085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2929890" cy="2144395"/>
            <wp:effectExtent l="0" t="0" r="3810" b="1905"/>
            <wp:docPr id="189951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126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61B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</w:t>
      </w:r>
      <w:r>
        <w:rPr>
          <w:rFonts w:hint="default" w:ascii="Times New Roman" w:hAnsi="Times New Roman" w:cs="Times New Roman"/>
          <w:lang w:val="en-US" w:eastAsia="zh-CN"/>
        </w:rPr>
        <w:t>Asynchronous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异步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1D85CB3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</w:t>
      </w:r>
      <w:r>
        <w:rPr>
          <w:rFonts w:hint="default" w:ascii="Times New Roman" w:hAnsi="Times New Roman" w:cs="Times New Roman"/>
          <w:lang w:val="en-US" w:eastAsia="zh-CN"/>
        </w:rPr>
        <w:t>Synchronous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同步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4179102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</w:t>
      </w:r>
      <w:r>
        <w:rPr>
          <w:rFonts w:hint="default" w:ascii="Times New Roman" w:hAnsi="Times New Roman" w:cs="Times New Roman"/>
          <w:lang w:val="en-US" w:eastAsia="zh-CN"/>
        </w:rPr>
        <w:t>Single Wire (Half-Duplex) Multiprocessor Communication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单线半双工通信模式，多个处理器或设备共享同一根通信线，数据传输在同一根线上双向进行（半双工），即同一时间只能有一个设备发送数据，而其他设备接收数据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3B7C81D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④</w:t>
      </w:r>
      <w:r>
        <w:rPr>
          <w:rFonts w:hint="default" w:ascii="Times New Roman" w:hAnsi="Times New Roman" w:cs="Times New Roman"/>
          <w:lang w:val="en-US" w:eastAsia="zh-CN"/>
        </w:rPr>
        <w:t xml:space="preserve">IrDA (Infrared Data Association) 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红外通信协议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59A93D9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⑤</w:t>
      </w:r>
      <w:r>
        <w:rPr>
          <w:rFonts w:hint="default" w:ascii="Times New Roman" w:hAnsi="Times New Roman" w:cs="Times New Roman"/>
          <w:lang w:val="en-US" w:eastAsia="zh-CN"/>
        </w:rPr>
        <w:t xml:space="preserve">LIN (Local Interconnect Network) 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串行通信协议，主要用于汽车电子系统中的传感器和执行器通信。LIN协议基于单主多从架构，主节点负责控制通信时序，从节点根据主节点的指令进行数据传输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75D2888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⑥</w:t>
      </w:r>
      <w:r>
        <w:rPr>
          <w:rFonts w:hint="default" w:ascii="Times New Roman" w:hAnsi="Times New Roman" w:cs="Times New Roman"/>
          <w:lang w:val="en-US" w:eastAsia="zh-CN"/>
        </w:rPr>
        <w:t>SmartCard (ISO7816)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是一种智能卡接口模式，支持ISO7816标准的接触式智能卡通信。广泛应用于金融、身份认证等领域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7E5FEAA7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⑦</w:t>
      </w:r>
      <w:r>
        <w:rPr>
          <w:rFonts w:hint="default" w:ascii="Times New Roman" w:hAnsi="Times New Roman" w:cs="Times New Roman"/>
          <w:lang w:val="en-US" w:eastAsia="zh-CN"/>
        </w:rPr>
        <w:t>SmartCard with Card Clock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增强型的智能卡通信模式，除了支持ISO7816标准的通信功能外，还提供了卡时钟（Card Clock）功能。卡时钟是一种独立的时钟信号，用于为智能卡提供稳定的时钟源。这种模式适用于需要高精度时钟控制的智能卡应用，例如金融交易和安全认证等场景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3081192F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336925" cy="1133475"/>
            <wp:effectExtent l="0" t="0" r="3175" b="9525"/>
            <wp:docPr id="112178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769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6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9738">
      <w:pPr>
        <w:jc w:val="both"/>
        <w:rPr>
          <w:rFonts w:hint="default" w:ascii="Times New Roman" w:hAnsi="Times New Roman" w:cs="Times New Roman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818FCF9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（2）开启NVIC</w:t>
      </w:r>
    </w:p>
    <w:p w14:paraId="4FC533B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①在STM32CubeMX中开启NVIC：</w:t>
      </w:r>
    </w:p>
    <w:p w14:paraId="1F2AEF26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132455" cy="509270"/>
            <wp:effectExtent l="0" t="0" r="4445" b="11430"/>
            <wp:docPr id="1242449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934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258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②接着在Keil中，main.c文件中添加：</w:t>
      </w:r>
    </w:p>
    <w:p w14:paraId="09246C3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Private variables------------------------------------------------------------*/</w:t>
      </w:r>
    </w:p>
    <w:p w14:paraId="3FC7BF0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BEGIN PV */</w:t>
      </w:r>
    </w:p>
    <w:p w14:paraId="6EED1C1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uint8_t rx_buffer[100];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// 串口缓存</w:t>
      </w:r>
    </w:p>
    <w:p w14:paraId="33E1562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 xml:space="preserve">uint8_t rx_len; 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//接收到的数据长度</w:t>
      </w:r>
    </w:p>
    <w:p w14:paraId="3734C4D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END PV */</w:t>
      </w:r>
    </w:p>
    <w:p w14:paraId="5AAC85F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③</w:t>
      </w:r>
      <w:r>
        <w:rPr>
          <w:rFonts w:hint="default" w:ascii="Times New Roman" w:hAnsi="Times New Roman" w:cs="Times New Roman"/>
          <w:lang w:val="en-US" w:eastAsia="zh-CN"/>
        </w:rPr>
        <w:t>以及在USART1的中断函数USART1_IRQHandler里面添加：</w:t>
      </w:r>
    </w:p>
    <w:p w14:paraId="44632AA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void USART1_IRQHandler(void)</w:t>
      </w:r>
    </w:p>
    <w:p w14:paraId="43D3116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2A09FE1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BEGIN USART1_IRQn 0 */</w:t>
      </w:r>
    </w:p>
    <w:p w14:paraId="0363C4BE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41F60B9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END USART1_IRQn 0 */</w:t>
      </w:r>
    </w:p>
    <w:p w14:paraId="4F4DBF5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HAL_UART_IRQHandler(&amp;huart1);</w:t>
      </w:r>
    </w:p>
    <w:p w14:paraId="0A58E71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BEGIN USART1_IRQn 1 */</w:t>
      </w:r>
    </w:p>
    <w:p w14:paraId="4E64789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if(__HAL_UART_GET_FLAG(&amp;huart1, UART_FLAG_IDLE) != RESET)</w:t>
      </w:r>
    </w:p>
    <w:p w14:paraId="7157A58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{</w:t>
      </w:r>
    </w:p>
    <w:p w14:paraId="571B4E0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HAL_UART_DMAStop(&amp;huart1);</w:t>
      </w:r>
    </w:p>
    <w:p w14:paraId="16FE317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rx_len = 50 - __HAL_DMA_GET_COUNTER(&amp;hdma_usart1_rx);</w:t>
      </w:r>
    </w:p>
    <w:p w14:paraId="6DC3000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</w:t>
      </w:r>
    </w:p>
    <w:p w14:paraId="4D880BC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if(rx_len &gt; 0)</w:t>
      </w:r>
    </w:p>
    <w:p w14:paraId="7363DB4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5EF4410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// 创建格式化缓冲区, %.*s用于指定长度字符串</w:t>
      </w:r>
    </w:p>
    <w:p w14:paraId="2731A26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uint8_t tx_buffer[60];</w:t>
      </w:r>
    </w:p>
    <w:p w14:paraId="77CC300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int tx_len = snprintf((char*)tx_buffer, sizeof(tx_buffer), "%.*s\r\n", rx_len, rx_buffer);</w:t>
      </w:r>
    </w:p>
    <w:p w14:paraId="40E6903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</w:p>
    <w:p w14:paraId="16A54D7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if(tx_len &gt; 0)</w:t>
      </w:r>
    </w:p>
    <w:p w14:paraId="6B5A71A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2B2A195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HAL_UART_Transmit(&amp;huart1, tx_buffer, tx_len, 50);</w:t>
      </w:r>
    </w:p>
    <w:p w14:paraId="141AB6D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0BBCA76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 xml:space="preserve">Parse_Command(rx_buffer, rx_len);       </w:t>
      </w:r>
    </w:p>
    <w:p w14:paraId="1644BF2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7F48CC9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memset(rx_buffer, 0, 50);</w:t>
      </w:r>
    </w:p>
    <w:p w14:paraId="5776B7E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HAL_UART_Receive_DMA(&amp;huart1, rx_buffer, 50);</w:t>
      </w:r>
    </w:p>
    <w:p w14:paraId="71B68F1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__HAL_UART_CLEAR_IDLEFLAG(&amp;huart1);</w:t>
      </w:r>
    </w:p>
    <w:p w14:paraId="2CFE3E7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rx_len = 0;</w:t>
      </w:r>
    </w:p>
    <w:p w14:paraId="01AC74D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</w:t>
      </w:r>
    </w:p>
    <w:p w14:paraId="4553202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END USART1_IRQn 1 */</w:t>
      </w:r>
    </w:p>
    <w:p w14:paraId="6FBB5B0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11B61FA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printf重定义，在usart.c中添加：</w:t>
      </w:r>
    </w:p>
    <w:p w14:paraId="06A421B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BEGIN 0 */</w:t>
      </w:r>
    </w:p>
    <w:p w14:paraId="3766C67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"stdio.h"</w:t>
      </w:r>
    </w:p>
    <w:p w14:paraId="5507707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END 0 */</w:t>
      </w:r>
    </w:p>
    <w:p w14:paraId="3BF1DDD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以及</w:t>
      </w:r>
    </w:p>
    <w:p w14:paraId="6D01358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BEGIN 1 */</w:t>
      </w:r>
    </w:p>
    <w:p w14:paraId="197F1FA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 w14:paraId="75B6D4E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函数功能: 重定向c库函数printf到DEBUG_USARTx</w:t>
      </w:r>
    </w:p>
    <w:p w14:paraId="3ED8E98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输入参数: 无</w:t>
      </w:r>
    </w:p>
    <w:p w14:paraId="2F17C09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返 回 值: 无</w:t>
      </w:r>
    </w:p>
    <w:p w14:paraId="1ED18F4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说    明：无</w:t>
      </w:r>
    </w:p>
    <w:p w14:paraId="7CE0D3E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*/</w:t>
      </w:r>
    </w:p>
    <w:p w14:paraId="367C707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fputc(int ch, FILE *f)</w:t>
      </w:r>
    </w:p>
    <w:p w14:paraId="5C439A9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42A1808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HAL_UART_Transmit(&amp;huart1, (uint8_t *)&amp;ch, 1, 0xffff);</w:t>
      </w:r>
    </w:p>
    <w:p w14:paraId="2BB903F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ch;</w:t>
      </w:r>
    </w:p>
    <w:p w14:paraId="161EAD2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263C7985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73C52EA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/**</w:t>
      </w:r>
    </w:p>
    <w:p w14:paraId="43EACAC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函数功能: 重定向c库函数getchar,scanf到DEBUG_USARTx</w:t>
      </w:r>
    </w:p>
    <w:p w14:paraId="60824F2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输入参数: 无</w:t>
      </w:r>
    </w:p>
    <w:p w14:paraId="03977F3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返 回 值: 无</w:t>
      </w:r>
    </w:p>
    <w:p w14:paraId="56AFD9A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 说    明：无</w:t>
      </w:r>
    </w:p>
    <w:p w14:paraId="4630D72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*/</w:t>
      </w:r>
    </w:p>
    <w:p w14:paraId="37082EB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int fgetc(FILE *f)</w:t>
      </w:r>
    </w:p>
    <w:p w14:paraId="4407532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56A472C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uint8_t ch = 0;</w:t>
      </w:r>
    </w:p>
    <w:p w14:paraId="14803F1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HAL_UART_Receive(&amp;huart1, &amp;ch, 1, 0xffff);</w:t>
      </w:r>
    </w:p>
    <w:p w14:paraId="3C41340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return ch;}</w:t>
      </w:r>
    </w:p>
    <w:p w14:paraId="314E72F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END 1 */</w:t>
      </w:r>
    </w:p>
    <w:p w14:paraId="19E0CFB3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（3）测试</w:t>
      </w:r>
    </w:p>
    <w:p w14:paraId="5169821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在while测试：printf("串口测试\r\n");</w:t>
      </w:r>
    </w:p>
    <w:p w14:paraId="2D4204D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随机找个串口助手发送“123qwe测试”，接受区可收到返回信息。</w:t>
      </w:r>
    </w:p>
    <w:p w14:paraId="5B4683F4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3369945" cy="2160270"/>
            <wp:effectExtent l="0" t="0" r="8255" b="11430"/>
            <wp:docPr id="126937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665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5504" b="12248"/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CF11">
      <w:pPr>
        <w:jc w:val="both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5" w:name="_Toc30181"/>
      <w:r>
        <w:rPr>
          <w:rFonts w:hint="eastAsia" w:ascii="Times New Roman" w:hAnsi="Times New Roman" w:cs="Times New Roman"/>
          <w:b/>
          <w:bCs/>
          <w:lang w:val="en-US" w:eastAsia="zh-CN"/>
        </w:rPr>
        <w:t>6、LED灯配置</w:t>
      </w:r>
      <w:bookmarkEnd w:id="5"/>
    </w:p>
    <w:p w14:paraId="3A58218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由于硬件的LED正极接3.3V，所以GPIO初始化为High</w:t>
      </w:r>
    </w:p>
    <w:p w14:paraId="6DF34A87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486275" cy="2404110"/>
            <wp:effectExtent l="0" t="0" r="9525" b="8890"/>
            <wp:docPr id="68511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216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360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4F9B57B7">
      <w:pPr>
        <w:jc w:val="both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6" w:name="_Toc7196"/>
      <w:r>
        <w:rPr>
          <w:rFonts w:hint="eastAsia" w:ascii="Times New Roman" w:hAnsi="Times New Roman" w:cs="Times New Roman"/>
          <w:b/>
          <w:bCs/>
          <w:lang w:val="en-US" w:eastAsia="zh-CN"/>
        </w:rPr>
        <w:t>7、定时器配置</w:t>
      </w:r>
      <w:bookmarkEnd w:id="6"/>
    </w:p>
    <w:p w14:paraId="61052BD6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（1）TIM1和TIM8的设置</w:t>
      </w:r>
    </w:p>
    <w:p w14:paraId="459CF7E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Channel1、2、3为PWM互补输出，Channel4为舵机PWM输出</w:t>
      </w:r>
    </w:p>
    <w:p w14:paraId="680DA38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PSC</w:t>
      </w:r>
      <w:r>
        <w:rPr>
          <w:rFonts w:hint="default" w:ascii="Times New Roman" w:hAnsi="Times New Roman" w:cs="Times New Roman"/>
          <w:lang w:val="en-US" w:eastAsia="zh-CN"/>
        </w:rPr>
        <w:t>：1 - 1，Timer的运行频率为168MHz。</w:t>
      </w:r>
    </w:p>
    <w:p w14:paraId="11FCD27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Counter Mode</w:t>
      </w:r>
      <w:r>
        <w:rPr>
          <w:rFonts w:hint="default" w:ascii="Times New Roman" w:hAnsi="Times New Roman" w:cs="Times New Roman"/>
          <w:lang w:val="en-US" w:eastAsia="zh-CN"/>
        </w:rPr>
        <w:t>：中心对齐方式1。</w:t>
      </w:r>
    </w:p>
    <w:p w14:paraId="161472B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Dithering</w:t>
      </w:r>
      <w:r>
        <w:rPr>
          <w:rFonts w:hint="default" w:ascii="Times New Roman" w:hAnsi="Times New Roman" w:cs="Times New Roman"/>
          <w:lang w:val="en-US" w:eastAsia="zh-CN"/>
        </w:rPr>
        <w:t>：PWM抖动模式，在连续的PWM周期内稍微改变CCR或ARR的实际值，从而实现更高的分辨率。例如，STM32微控制器的Dithering模式可以在16个连续的PWM周期内，通过增加或减少一个定时器时钟周期来调整占空比，从而将分辨率提高16倍。</w:t>
      </w:r>
    </w:p>
    <w:p w14:paraId="0B19D7A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Counter Period</w:t>
      </w:r>
      <w:r>
        <w:rPr>
          <w:rFonts w:hint="default" w:ascii="Times New Roman" w:hAnsi="Times New Roman" w:cs="Times New Roman"/>
          <w:lang w:val="en-US" w:eastAsia="zh-CN"/>
        </w:rPr>
        <w:t>：计数周期，PWM频率为15kHz，在中心对齐模式下，计数最高点为（168MHz / 15kHz / 2）- 1 =5600 – 1。</w:t>
      </w:r>
    </w:p>
    <w:p w14:paraId="2D1EAF2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CKD</w:t>
      </w:r>
      <w:r>
        <w:rPr>
          <w:rFonts w:hint="default" w:ascii="Times New Roman" w:hAnsi="Times New Roman" w:cs="Times New Roman"/>
          <w:lang w:val="en-US" w:eastAsia="zh-CN"/>
        </w:rPr>
        <w:t>：用于设置定时器时钟频率的分频系数，从而影响定时器的计数频率（只影响输入捕获）。</w:t>
      </w:r>
    </w:p>
    <w:p w14:paraId="586A6FC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RCR</w:t>
      </w:r>
      <w:r>
        <w:rPr>
          <w:rFonts w:hint="default" w:ascii="Times New Roman" w:hAnsi="Times New Roman" w:cs="Times New Roman"/>
          <w:lang w:val="en-US" w:eastAsia="zh-CN"/>
        </w:rPr>
        <w:t>：重复计数器设置为0，即每1个定时器溢出产生1个更新事件，更新事件会触发ADC采样， FOC代码放在ADC采样完成中断里计算的，计算频率等于15KHz。</w:t>
      </w:r>
    </w:p>
    <w:p w14:paraId="7184FD5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auto-reload preload</w:t>
      </w:r>
      <w:r>
        <w:rPr>
          <w:rFonts w:hint="default" w:ascii="Times New Roman" w:hAnsi="Times New Roman" w:cs="Times New Roman"/>
          <w:lang w:val="en-US" w:eastAsia="zh-CN"/>
        </w:rPr>
        <w:t>：自动重装载寄存器，启用预加载功能，提高信号的稳定性和实时性。</w:t>
      </w:r>
    </w:p>
    <w:p w14:paraId="40BE386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Master/Slave Mode</w:t>
      </w:r>
      <w:r>
        <w:rPr>
          <w:rFonts w:hint="default" w:ascii="Times New Roman" w:hAnsi="Times New Roman" w:cs="Times New Roman"/>
          <w:lang w:val="en-US" w:eastAsia="zh-CN"/>
        </w:rPr>
        <w:t>：不使用主从模式。</w:t>
      </w:r>
    </w:p>
    <w:p w14:paraId="33DBA87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Trigger Event Selection（TRGO）</w:t>
      </w:r>
      <w:r>
        <w:rPr>
          <w:rFonts w:hint="default" w:ascii="Times New Roman" w:hAnsi="Times New Roman" w:cs="Times New Roman"/>
          <w:lang w:val="en-US" w:eastAsia="zh-CN"/>
        </w:rPr>
        <w:t>：选择Update Event（UEV），当定时器计数器溢出或更新时，产生触发输出。</w:t>
      </w:r>
    </w:p>
    <w:p w14:paraId="7428C21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BRK State</w:t>
      </w:r>
      <w:r>
        <w:rPr>
          <w:rFonts w:hint="default" w:ascii="Times New Roman" w:hAnsi="Times New Roman" w:cs="Times New Roman"/>
          <w:lang w:val="en-US" w:eastAsia="zh-CN"/>
        </w:rPr>
        <w:t>：刹车功能开启。</w:t>
      </w:r>
    </w:p>
    <w:p w14:paraId="12E9E47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BRK Polarity</w:t>
      </w:r>
      <w:r>
        <w:rPr>
          <w:rFonts w:hint="default" w:ascii="Times New Roman" w:hAnsi="Times New Roman" w:cs="Times New Roman"/>
          <w:lang w:val="en-US" w:eastAsia="zh-CN"/>
        </w:rPr>
        <w:t>：当刹车输入信号为低电平的时候，触发刹车功能。</w:t>
      </w:r>
    </w:p>
    <w:p w14:paraId="319C3F9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Automatic Output State</w:t>
      </w:r>
      <w:r>
        <w:rPr>
          <w:rFonts w:hint="default" w:ascii="Times New Roman" w:hAnsi="Times New Roman" w:cs="Times New Roman"/>
          <w:lang w:val="en-US" w:eastAsia="zh-CN"/>
        </w:rPr>
        <w:t>：刹车信号失效后是否自动恢复输出。</w:t>
      </w:r>
    </w:p>
    <w:p w14:paraId="2B1BC7E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Lock Configuration</w:t>
      </w:r>
      <w:r>
        <w:rPr>
          <w:rFonts w:hint="default" w:ascii="Times New Roman" w:hAnsi="Times New Roman" w:cs="Times New Roman"/>
          <w:lang w:val="en-US" w:eastAsia="zh-CN"/>
        </w:rPr>
        <w:t>：用于保护定时器的某些关键寄存器，防止在运行过程中被意外修改，从而提高系统的可靠性和安全性。LOCKLEVEL_1：锁定死区时间寄存器（DTG）和断路功能寄存器（BKE和BKP）。LOCKLEVEL_2：进一步锁定OSSR（运行模式下的关闭状态选择）和OSSI（空闲模式下的关闭状态选择）状态寄存器。LOCKLEVEL_3，进一步锁定 AOE（自动输出使能） 和 MOE（主输出使能） 状态寄存器</w:t>
      </w:r>
    </w:p>
    <w:p w14:paraId="16CC575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Dead Time</w:t>
      </w:r>
      <w:r>
        <w:rPr>
          <w:rFonts w:hint="default" w:ascii="Times New Roman" w:hAnsi="Times New Roman" w:cs="Times New Roman"/>
          <w:lang w:val="en-US" w:eastAsia="zh-CN"/>
        </w:rPr>
        <w:t>：死区时间，TDTS = 168M / 1000ns = 5.95ns，要设置1000ns的死区时间，计算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DTG寄存器的值</w:t>
      </w:r>
      <w:r>
        <w:rPr>
          <w:rFonts w:hint="default" w:ascii="Times New Roman" w:hAnsi="Times New Roman" w:cs="Times New Roman"/>
          <w:lang w:val="en-US" w:eastAsia="zh-CN"/>
        </w:rPr>
        <w:t>： DTG=1000ns​ / 5.95ns ≈ 168。</w:t>
      </w:r>
    </w:p>
    <w:p w14:paraId="3B32E7F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Mode</w:t>
      </w:r>
      <w:r>
        <w:rPr>
          <w:rFonts w:hint="default" w:ascii="Times New Roman" w:hAnsi="Times New Roman" w:cs="Times New Roman"/>
          <w:lang w:val="en-US" w:eastAsia="zh-CN"/>
        </w:rPr>
        <w:t>：PWM Mode 1，计数值Counter小于CCR时PWM输出有效电平。</w:t>
      </w:r>
    </w:p>
    <w:p w14:paraId="4B49A81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Pulse</w:t>
      </w:r>
      <w:r>
        <w:rPr>
          <w:rFonts w:hint="default" w:ascii="Times New Roman" w:hAnsi="Times New Roman" w:cs="Times New Roman"/>
          <w:lang w:val="en-US" w:eastAsia="zh-CN"/>
        </w:rPr>
        <w:t>：设置CCR寄存器的值（代码手动设置）。</w:t>
      </w:r>
    </w:p>
    <w:p w14:paraId="1844FFB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Output compare preload</w:t>
      </w:r>
      <w:r>
        <w:rPr>
          <w:rFonts w:hint="default" w:ascii="Times New Roman" w:hAnsi="Times New Roman" w:cs="Times New Roman"/>
          <w:lang w:val="en-US" w:eastAsia="zh-CN"/>
        </w:rPr>
        <w:t>：CCR预装载使能，可以确保PWM信号的占空比在每个周期内保持一致。</w:t>
      </w:r>
    </w:p>
    <w:p w14:paraId="6B3DA94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Fast Mode</w:t>
      </w:r>
      <w:r>
        <w:rPr>
          <w:rFonts w:hint="default" w:ascii="Times New Roman" w:hAnsi="Times New Roman" w:cs="Times New Roman"/>
          <w:lang w:val="en-US" w:eastAsia="zh-CN"/>
        </w:rPr>
        <w:t>：快速输出管脚电平，不启用。</w:t>
      </w:r>
    </w:p>
    <w:p w14:paraId="13FEF8B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CH/CHN Polarity</w:t>
      </w:r>
      <w:r>
        <w:rPr>
          <w:rFonts w:hint="default" w:ascii="Times New Roman" w:hAnsi="Times New Roman" w:cs="Times New Roman"/>
          <w:lang w:val="en-US" w:eastAsia="zh-CN"/>
        </w:rPr>
        <w:t>：CH/CHN有效电平的极性，根据预驱动芯片手册时序图，分别设置为High/Low。</w:t>
      </w:r>
    </w:p>
    <w:p w14:paraId="5B44AAF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CH/CHN ldle State</w:t>
      </w:r>
      <w:r>
        <w:rPr>
          <w:rFonts w:hint="default" w:ascii="Times New Roman" w:hAnsi="Times New Roman" w:cs="Times New Roman"/>
          <w:lang w:val="en-US" w:eastAsia="zh-CN"/>
        </w:rPr>
        <w:t>：当PWM不输出或空闲时的状态，SET为高电平，RESET为低电平。</w:t>
      </w:r>
    </w:p>
    <w:p w14:paraId="2D19887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对于PWM Channel4不再赘述。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0"/>
        <w:gridCol w:w="4172"/>
      </w:tblGrid>
      <w:tr w14:paraId="6886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C91955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33650" cy="1702435"/>
                  <wp:effectExtent l="0" t="0" r="6350" b="12065"/>
                  <wp:docPr id="741156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15666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0726781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416810" cy="2085975"/>
                  <wp:effectExtent l="0" t="0" r="8890" b="9525"/>
                  <wp:docPr id="713540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5400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81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F8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74F696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635885" cy="869950"/>
                  <wp:effectExtent l="0" t="0" r="5715" b="6350"/>
                  <wp:docPr id="13086843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6843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88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253838C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22220" cy="660400"/>
                  <wp:effectExtent l="0" t="0" r="5080" b="0"/>
                  <wp:docPr id="8363156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31565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3C9667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（2）TIM4（用于屏幕的调光）</w:t>
      </w:r>
    </w:p>
    <w:p w14:paraId="1E3A7ADF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①设置频率：</w:t>
      </w:r>
    </w:p>
    <w:p w14:paraId="1D424449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定时器溢出频率为：168M / 168 / 5000 = 200Hz，即5ms。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6"/>
        <w:gridCol w:w="4106"/>
      </w:tblGrid>
      <w:tr w14:paraId="17F2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6" w:type="dxa"/>
            <w:vAlign w:val="center"/>
          </w:tcPr>
          <w:p w14:paraId="069F2DA7">
            <w:pPr>
              <w:jc w:val="both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662555" cy="1143635"/>
                  <wp:effectExtent l="0" t="0" r="4445" b="12065"/>
                  <wp:docPr id="4012479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2479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55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6" w:type="dxa"/>
            <w:vAlign w:val="center"/>
          </w:tcPr>
          <w:p w14:paraId="62AD075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332990" cy="1926590"/>
                  <wp:effectExtent l="0" t="0" r="3810" b="3810"/>
                  <wp:docPr id="572931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9310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192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072CC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66960ED9">
      <w:pPr>
        <w:jc w:val="center"/>
        <w:rPr>
          <w:rFonts w:hint="default" w:ascii="Times New Roman" w:hAnsi="Times New Roman" w:cs="Times New Roman"/>
          <w:lang w:val="en-US" w:eastAsia="zh-CN"/>
        </w:rPr>
      </w:pPr>
    </w:p>
    <w:p w14:paraId="65B6A9DD">
      <w:pPr>
        <w:jc w:val="both"/>
        <w:rPr>
          <w:rFonts w:hint="default" w:ascii="Times New Roman" w:hAnsi="Times New Roman" w:cs="Times New Roman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AB3C137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②打开NVIC和DMA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28D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2C786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3727450" cy="444500"/>
                  <wp:effectExtent l="0" t="0" r="6350" b="0"/>
                  <wp:docPr id="9891415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1415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5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02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0853A">
            <w:pPr>
              <w:jc w:val="center"/>
              <w:rPr>
                <w:rFonts w:hint="eastAsia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3717290" cy="3246755"/>
                  <wp:effectExtent l="0" t="0" r="3810" b="4445"/>
                  <wp:docPr id="335614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61418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290" cy="324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1E645">
      <w:pPr>
        <w:jc w:val="center"/>
        <w:rPr>
          <w:rFonts w:hint="eastAsia" w:ascii="Times New Roman" w:hAnsi="Times New Roman" w:cs="Times New Roman"/>
          <w:lang w:val="en-US" w:eastAsia="zh-CN"/>
        </w:rPr>
      </w:pPr>
    </w:p>
    <w:p w14:paraId="62E3A249">
      <w:pPr>
        <w:jc w:val="both"/>
        <w:outlineLvl w:val="0"/>
        <w:rPr>
          <w:rFonts w:hint="eastAsia" w:ascii="Times New Roman" w:hAnsi="Times New Roman" w:cs="Times New Roman"/>
          <w:lang w:val="en-US" w:eastAsia="zh-CN"/>
        </w:rPr>
      </w:pPr>
      <w:bookmarkStart w:id="7" w:name="_Toc28293"/>
      <w:r>
        <w:rPr>
          <w:rFonts w:hint="eastAsia" w:ascii="Times New Roman" w:hAnsi="Times New Roman" w:cs="Times New Roman"/>
          <w:b/>
          <w:bCs/>
          <w:lang w:val="en-US" w:eastAsia="zh-CN"/>
        </w:rPr>
        <w:t>8、ADC配置</w:t>
      </w:r>
      <w:bookmarkEnd w:id="7"/>
    </w:p>
    <w:p w14:paraId="32904C9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（1）通道的分配：</w:t>
      </w:r>
    </w:p>
    <w:p w14:paraId="51021D8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ADC1</w:t>
      </w:r>
      <w:r>
        <w:rPr>
          <w:rFonts w:hint="eastAsia" w:ascii="Times New Roman" w:hAnsi="Times New Roman" w:cs="Times New Roman"/>
          <w:lang w:val="en-US" w:eastAsia="zh-CN"/>
        </w:rPr>
        <w:t>的</w:t>
      </w:r>
      <w:r>
        <w:rPr>
          <w:rFonts w:hint="default" w:ascii="Times New Roman" w:hAnsi="Times New Roman" w:cs="Times New Roman"/>
          <w:lang w:val="en-US" w:eastAsia="zh-CN"/>
        </w:rPr>
        <w:t>IN2/3/4用于M0；</w:t>
      </w:r>
      <w:r>
        <w:rPr>
          <w:rFonts w:hint="eastAsia" w:ascii="Times New Roman" w:hAnsi="Times New Roman" w:cs="Times New Roman"/>
          <w:lang w:val="en-US" w:eastAsia="zh-CN"/>
        </w:rPr>
        <w:t>ADC2的</w:t>
      </w:r>
      <w:r>
        <w:rPr>
          <w:rFonts w:hint="default" w:ascii="Times New Roman" w:hAnsi="Times New Roman" w:cs="Times New Roman"/>
          <w:lang w:val="en-US" w:eastAsia="zh-CN"/>
        </w:rPr>
        <w:t>IN10/11/15用于M1；</w:t>
      </w:r>
    </w:p>
    <w:p w14:paraId="642819A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ADC1</w:t>
      </w:r>
      <w:bookmarkStart w:id="12" w:name="_GoBack"/>
      <w:bookmarkEnd w:id="12"/>
      <w:r>
        <w:rPr>
          <w:rFonts w:hint="eastAsia" w:ascii="Times New Roman" w:hAnsi="Times New Roman" w:cs="Times New Roman"/>
          <w:lang w:val="en-US" w:eastAsia="zh-CN"/>
        </w:rPr>
        <w:t>的</w:t>
      </w:r>
      <w:r>
        <w:rPr>
          <w:rFonts w:hint="default" w:ascii="Times New Roman" w:hAnsi="Times New Roman" w:cs="Times New Roman"/>
          <w:lang w:val="en-US" w:eastAsia="zh-CN"/>
        </w:rPr>
        <w:t>IN1用于</w:t>
      </w:r>
      <w:r>
        <w:rPr>
          <w:rFonts w:hint="eastAsia" w:ascii="Times New Roman" w:hAnsi="Times New Roman" w:cs="Times New Roman"/>
          <w:lang w:val="en-US" w:eastAsia="zh-CN"/>
        </w:rPr>
        <w:t>系统</w:t>
      </w:r>
      <w:r>
        <w:rPr>
          <w:rFonts w:hint="default" w:ascii="Times New Roman" w:hAnsi="Times New Roman" w:cs="Times New Roman"/>
          <w:lang w:val="en-US" w:eastAsia="zh-CN"/>
        </w:rPr>
        <w:t>电压检测；</w:t>
      </w:r>
    </w:p>
    <w:p w14:paraId="3FA3361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ADC3的</w:t>
      </w:r>
      <w:r>
        <w:rPr>
          <w:rFonts w:hint="default" w:ascii="Times New Roman" w:hAnsi="Times New Roman" w:cs="Times New Roman"/>
          <w:lang w:val="en-US" w:eastAsia="zh-CN"/>
        </w:rPr>
        <w:t>IN0用于TFT屏幕</w:t>
      </w:r>
      <w:r>
        <w:rPr>
          <w:rFonts w:hint="eastAsia" w:ascii="Times New Roman" w:hAnsi="Times New Roman" w:cs="Times New Roman"/>
          <w:lang w:val="en-US" w:eastAsia="zh-CN"/>
        </w:rPr>
        <w:t>电阻采样</w:t>
      </w:r>
      <w:r>
        <w:rPr>
          <w:rFonts w:hint="default" w:ascii="Times New Roman" w:hAnsi="Times New Roman" w:cs="Times New Roman"/>
          <w:lang w:val="en-US" w:eastAsia="zh-CN"/>
        </w:rPr>
        <w:t>；</w:t>
      </w:r>
      <w:r>
        <w:rPr>
          <w:rFonts w:hint="eastAsia" w:ascii="Times New Roman" w:hAnsi="Times New Roman" w:cs="Times New Roman"/>
          <w:lang w:val="en-US" w:eastAsia="zh-CN"/>
        </w:rPr>
        <w:t>ADC3的</w:t>
      </w:r>
      <w:r>
        <w:rPr>
          <w:rFonts w:hint="default" w:ascii="Times New Roman" w:hAnsi="Times New Roman" w:cs="Times New Roman"/>
          <w:lang w:val="en-US" w:eastAsia="zh-CN"/>
        </w:rPr>
        <w:t>IN12/13用于温度检测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0BD90C7C">
      <w:pPr>
        <w:jc w:val="both"/>
        <w:rPr>
          <w:rFonts w:hint="default" w:ascii="Times New Roman" w:hAnsi="Times New Roman" w:eastAsia="宋体" w:cs="宋体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lang w:eastAsia="zh-CN"/>
        </w:rPr>
        <w:t>（</w:t>
      </w:r>
      <w:r>
        <w:rPr>
          <w:rFonts w:hint="eastAsia" w:ascii="Times New Roman" w:hAnsi="Times New Roman" w:eastAsia="宋体" w:cs="宋体"/>
          <w:b/>
          <w:bCs/>
          <w:lang w:val="en-US" w:eastAsia="zh-CN"/>
        </w:rPr>
        <w:t>2</w:t>
      </w:r>
      <w:r>
        <w:rPr>
          <w:rFonts w:hint="eastAsia" w:ascii="Times New Roman" w:hAnsi="Times New Roman" w:eastAsia="宋体" w:cs="宋体"/>
          <w:b/>
          <w:bCs/>
          <w:lang w:eastAsia="zh-CN"/>
        </w:rPr>
        <w:t>）</w:t>
      </w:r>
      <w:r>
        <w:rPr>
          <w:rFonts w:hint="eastAsia" w:ascii="Times New Roman" w:hAnsi="Times New Roman" w:eastAsia="宋体" w:cs="宋体"/>
          <w:b/>
          <w:bCs/>
          <w:lang w:val="en-US" w:eastAsia="zh-CN"/>
        </w:rPr>
        <w:t>初始化设置</w:t>
      </w:r>
    </w:p>
    <w:p w14:paraId="648E063E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Mode：独立模式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0298178E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Clock Prescaler：4分频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21A7397F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Resolution：12bits的分辨率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6873E365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Data Alignment：右对齐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0CD0D3AF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lang w:val="en-US" w:eastAsia="zh-CN"/>
        </w:rPr>
        <w:t>①</w:t>
      </w:r>
      <w:r>
        <w:rPr>
          <w:rFonts w:hint="eastAsia" w:ascii="Times New Roman" w:hAnsi="Times New Roman" w:eastAsia="宋体" w:cs="宋体"/>
        </w:rPr>
        <w:t>规则组：</w:t>
      </w:r>
    </w:p>
    <w:p w14:paraId="37D375A7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Scan Conversion Mode：规则采样使用连续扫描模式。</w:t>
      </w:r>
    </w:p>
    <w:p w14:paraId="37197A3D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ContinuousConversion Mode：不连续转换，单次转换。</w:t>
      </w:r>
    </w:p>
    <w:p w14:paraId="19DE971B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Discontinuous Conversion Mode：不连续转换。</w:t>
      </w:r>
    </w:p>
    <w:p w14:paraId="3E39CF38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DMA Continuous Requests：允许在一次DMA传输完成后自动请求新的传输，配置为不允许。</w:t>
      </w:r>
    </w:p>
    <w:p w14:paraId="2E4D2C8A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</w:rPr>
        <w:t>End Of Conversion Selection：选择End of sequence of conversion，会在一组数据转换完成后发出EOS标志。</w:t>
      </w:r>
    </w:p>
    <w:p w14:paraId="5A97B459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Number Of Conversion：规则组通道数量，1个通道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3DE7CCC1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External Trigger Conversion Source：软件触发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0D0BE8A0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External Trigger Conversion Edge：软件触发，None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6EEDBD69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Channe：Channe 4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10C0D385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Sampling Time：3个周期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p w14:paraId="769CFAF2">
      <w:pPr>
        <w:jc w:val="both"/>
        <w:rPr>
          <w:rFonts w:hint="eastAsia" w:ascii="Times New Roman" w:hAnsi="Times New Roman" w:eastAsia="宋体" w:cs="宋体"/>
        </w:rPr>
      </w:pPr>
      <w:r>
        <w:rPr>
          <w:rFonts w:hint="eastAsia" w:ascii="Times New Roman" w:hAnsi="Times New Roman" w:eastAsia="宋体" w:cs="宋体"/>
          <w:lang w:val="en-US" w:eastAsia="zh-CN"/>
        </w:rPr>
        <w:t>②</w:t>
      </w:r>
      <w:r>
        <w:rPr>
          <w:rFonts w:hint="eastAsia" w:ascii="Times New Roman" w:hAnsi="Times New Roman" w:eastAsia="宋体" w:cs="宋体"/>
        </w:rPr>
        <w:t>注入组：</w:t>
      </w:r>
    </w:p>
    <w:p w14:paraId="6D81EDC7">
      <w:pPr>
        <w:jc w:val="both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</w:rPr>
        <w:t>3个通道，Timer1触发事件，上升沿触发，不开启注入组转换模式，采样时间3个周期</w:t>
      </w:r>
      <w:r>
        <w:rPr>
          <w:rFonts w:hint="eastAsia" w:ascii="Times New Roman" w:hAnsi="Times New Roman" w:eastAsia="宋体" w:cs="宋体"/>
          <w:lang w:eastAsia="zh-CN"/>
        </w:rPr>
        <w:t>；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6"/>
        <w:gridCol w:w="4276"/>
      </w:tblGrid>
      <w:tr w14:paraId="5E33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581B617D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3315335" cy="716280"/>
                  <wp:effectExtent l="0" t="0" r="12065" b="7620"/>
                  <wp:docPr id="208526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2647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A0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7F94716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450465" cy="1958340"/>
                  <wp:effectExtent l="0" t="0" r="635" b="10160"/>
                  <wp:docPr id="1323239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23967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465" cy="195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3E89FAED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67940" cy="1707515"/>
                  <wp:effectExtent l="0" t="0" r="10160" b="6985"/>
                  <wp:docPr id="7398068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0687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70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F57B0">
      <w:pPr>
        <w:jc w:val="center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ADC1（ADC2和ADC1类似，不再赘述）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082"/>
      </w:tblGrid>
      <w:tr w14:paraId="4E69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0" w:type="dxa"/>
            <w:vAlign w:val="center"/>
          </w:tcPr>
          <w:p w14:paraId="2BA1E267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496185" cy="780415"/>
                  <wp:effectExtent l="0" t="0" r="5715" b="6985"/>
                  <wp:docPr id="3706666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666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25982C0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1926590" cy="1593215"/>
                  <wp:effectExtent l="0" t="0" r="3810" b="6985"/>
                  <wp:docPr id="18789234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92349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590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C2E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center"/>
          </w:tcPr>
          <w:p w14:paraId="446BA68E">
            <w:pPr>
              <w:jc w:val="center"/>
              <w:rPr>
                <w:rFonts w:hint="eastAsia" w:ascii="Times New Roman" w:hAnsi="Times New Roman" w:eastAsia="宋体" w:cs="宋体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3288030" cy="2230755"/>
                  <wp:effectExtent l="0" t="0" r="1270" b="4445"/>
                  <wp:docPr id="19882138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138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03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F857A">
      <w:pPr>
        <w:jc w:val="center"/>
        <w:rPr>
          <w:rFonts w:hint="eastAsia" w:ascii="Times New Roman" w:hAnsi="Times New Roman" w:eastAsia="宋体" w:cs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ADC3</w:t>
      </w:r>
    </w:p>
    <w:p w14:paraId="633ED478">
      <w:pPr>
        <w:jc w:val="both"/>
        <w:rPr>
          <w:rFonts w:hint="default" w:ascii="Times New Roman" w:hAnsi="Times New Roman" w:eastAsia="宋体" w:cs="宋体"/>
          <w:lang w:val="en-US" w:eastAsia="zh-CN"/>
        </w:rPr>
      </w:pPr>
      <w:r>
        <w:rPr>
          <w:rFonts w:hint="default" w:ascii="Times New Roman" w:hAnsi="Times New Roman" w:eastAsia="宋体" w:cs="宋体"/>
          <w:lang w:val="en-US" w:eastAsia="zh-CN"/>
        </w:rPr>
        <w:t>打开ADC3的DMA。循环模式；Memory打勾，存储ADC值的内存地址自增。</w:t>
      </w:r>
    </w:p>
    <w:p w14:paraId="5B3D5082">
      <w:pPr>
        <w:jc w:val="both"/>
        <w:rPr>
          <w:rFonts w:hint="default" w:ascii="Times New Roman" w:hAnsi="Times New Roman" w:cs="Times New Roman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B1301A">
      <w:pPr>
        <w:jc w:val="both"/>
        <w:outlineLvl w:val="0"/>
        <w:rPr>
          <w:rFonts w:hint="eastAsia" w:ascii="Times New Roman" w:hAnsi="Times New Roman" w:cs="Times New Roman"/>
          <w:lang w:val="en-US" w:eastAsia="zh-CN"/>
        </w:rPr>
      </w:pPr>
      <w:bookmarkStart w:id="8" w:name="_Toc23951"/>
      <w:r>
        <w:rPr>
          <w:rFonts w:hint="eastAsia" w:ascii="Times New Roman" w:hAnsi="Times New Roman" w:cs="Times New Roman"/>
          <w:b/>
          <w:bCs/>
          <w:lang w:val="en-US" w:eastAsia="zh-CN"/>
        </w:rPr>
        <w:t>9、ADC中断配置</w:t>
      </w:r>
      <w:bookmarkEnd w:id="8"/>
    </w:p>
    <w:p w14:paraId="019D68B7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打开ADC中断，需要在ADC中断中完成FOC计算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0FFDFD32">
      <w:pPr>
        <w:jc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369435" cy="1010285"/>
            <wp:effectExtent l="0" t="0" r="12065" b="5715"/>
            <wp:docPr id="557701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1808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943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9FEF">
      <w:pPr>
        <w:jc w:val="both"/>
        <w:rPr>
          <w:rFonts w:hint="eastAsia" w:ascii="Times New Roman" w:hAnsi="Times New Roman" w:cs="Times New Roman"/>
          <w:lang w:val="en-US" w:eastAsia="zh-CN"/>
        </w:rPr>
      </w:pPr>
    </w:p>
    <w:p w14:paraId="2FB065D1">
      <w:pPr>
        <w:jc w:val="both"/>
        <w:outlineLvl w:val="0"/>
        <w:rPr>
          <w:rFonts w:hint="eastAsia" w:ascii="Times New Roman" w:hAnsi="Times New Roman" w:cs="Times New Roman"/>
          <w:lang w:val="en-US" w:eastAsia="zh-CN"/>
        </w:rPr>
      </w:pPr>
      <w:bookmarkStart w:id="9" w:name="_Toc32083"/>
      <w:r>
        <w:rPr>
          <w:rFonts w:hint="eastAsia" w:ascii="Times New Roman" w:hAnsi="Times New Roman" w:cs="Times New Roman"/>
          <w:b/>
          <w:bCs/>
          <w:lang w:val="en-US" w:eastAsia="zh-CN"/>
        </w:rPr>
        <w:t>10、TFT屏幕（ST7789V，即SPI配置）</w:t>
      </w:r>
      <w:bookmarkEnd w:id="9"/>
    </w:p>
    <w:p w14:paraId="240C143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（1）初始化设置</w:t>
      </w:r>
    </w:p>
    <w:p w14:paraId="6029672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Mode：作为主机传输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2A3AF5A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Frame Format：帧格式。Motorola SPI（大端模式）协议中，高字节存储在低地址，低字节存储在高地址。TI SPI（小端模式）协议中，低字节存储在低地址，高字节存储在高地址。</w:t>
      </w:r>
    </w:p>
    <w:p w14:paraId="28AA017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 Size：数据大小，指定每个数据帧包含的位数，8位（1字节）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10F8008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First Bit：首比特，指定数据传输时最先发送的是最高有效位（MSB）还是最低有效位（LSB）。</w:t>
      </w:r>
    </w:p>
    <w:p w14:paraId="34AD379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Prescaler (for Baud Rate)：波特率预分频器，用于设置SPI的时钟频率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1067AB7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Baud Rate：波特率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37D68BD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Clock Polarity (CPOL)：时钟极性，指定时钟信号的空闲状态是高电平还是低电平。设置为High，空闲状态为高电平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1E7C7AE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Clock Phase (CPHA)：时钟相位，指定数据是在时钟信号的哪个边沿被采样。2 Edge，数据在时钟信号的第二个边沿（上升沿）被采样，提高数据的稳定性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330474E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CRC Calculation：CRC计算，指定是否启用循环冗余校验（CRC）来检测数据传输中的错误。不启用CRC计算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1CE405A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NSS Signal Type：NSS信号类型，NSS（从设备选择）信号可以由硬件或软件控制。设置为Software，NSS信号由软件控制</w:t>
      </w:r>
      <w:r>
        <w:rPr>
          <w:rFonts w:hint="eastAsia" w:ascii="Times New Roman" w:hAnsi="Times New Roman" w:cs="Times New Roman"/>
          <w:lang w:val="en-US" w:eastAsia="zh-CN"/>
        </w:rPr>
        <w:t>；</w:t>
      </w:r>
    </w:p>
    <w:p w14:paraId="71049E59">
      <w:p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宋体"/>
        </w:rPr>
        <w:drawing>
          <wp:inline distT="0" distB="0" distL="0" distR="0">
            <wp:extent cx="4240530" cy="2967990"/>
            <wp:effectExtent l="0" t="0" r="1270" b="3810"/>
            <wp:docPr id="1393947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705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3852">
      <w:pPr>
        <w:jc w:val="both"/>
        <w:rPr>
          <w:rFonts w:hint="default" w:ascii="Times New Roman" w:hAnsi="Times New Roman" w:cs="Times New Roman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FCE40DD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（2）Hardware组设置</w:t>
      </w:r>
    </w:p>
    <w:p w14:paraId="17D48B2C">
      <w:pPr>
        <w:spacing w:line="240" w:lineRule="auto"/>
        <w:jc w:val="left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加载lcd.c、lcd.h、ui.h等文件。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7"/>
        <w:gridCol w:w="4555"/>
      </w:tblGrid>
      <w:tr w14:paraId="5D0B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7" w:type="dxa"/>
            <w:vAlign w:val="center"/>
          </w:tcPr>
          <w:p w14:paraId="0165154B">
            <w:pPr>
              <w:spacing w:line="240" w:lineRule="auto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1628775" cy="714375"/>
                  <wp:effectExtent l="0" t="0" r="9525" b="9525"/>
                  <wp:docPr id="1512651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519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5" w:type="dxa"/>
            <w:vAlign w:val="center"/>
          </w:tcPr>
          <w:p w14:paraId="566DB2A2">
            <w:pPr>
              <w:spacing w:line="240" w:lineRule="auto"/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399030" cy="1625600"/>
                  <wp:effectExtent l="0" t="0" r="1270" b="0"/>
                  <wp:docPr id="1068095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095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3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D2F6D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Group里添加Hardware，再把lcd.c、lcd.h导入进去，再进行编译。编译成功后在lcd.c的文件夹里面会出现lcd.h。把Hardware里面多余的的lcd.h删掉即可。</w:t>
      </w:r>
    </w:p>
    <w:p w14:paraId="1F931B13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7D80C25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.c文件定义LCD_TOTAL_BUF_SIZE 240*135*2，2表示个像素用2字节表示，用于16位颜色深度。LCD_Buf_Size定义为648，即240*135*2的1/100，spi传输100次刚好传输完。</w:t>
      </w:r>
    </w:p>
    <w:p w14:paraId="62E30E1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LCD_TOTAL_BUF_SIZE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(240*135*2)</w:t>
      </w:r>
    </w:p>
    <w:p w14:paraId="39BCFF7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LCD_Buf_Size 648</w:t>
      </w:r>
    </w:p>
    <w:p w14:paraId="31FF60E0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5C0D8CC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.h文件定义屏幕分辨率大小240*135</w:t>
      </w:r>
    </w:p>
    <w:p w14:paraId="7780C98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#define LCD_Width 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240</w:t>
      </w:r>
    </w:p>
    <w:p w14:paraId="7B27084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#define LCD_Height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135</w:t>
      </w:r>
    </w:p>
    <w:p w14:paraId="7FED3F55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20DD6DB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main.c文件里添加：</w:t>
      </w:r>
    </w:p>
    <w:p w14:paraId="396E549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#include "ui.h"</w:t>
      </w:r>
    </w:p>
    <w:p w14:paraId="53F1A275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0BA43A72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以及</w:t>
      </w:r>
    </w:p>
    <w:p w14:paraId="6479C12B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BEGIN 4 */</w:t>
      </w:r>
    </w:p>
    <w:p w14:paraId="658EF474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uint8_t</w:t>
      </w: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SPI2_WriteByte(uint8_t* data, uint16_t size)</w:t>
      </w:r>
    </w:p>
    <w:p w14:paraId="5321BED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{</w:t>
      </w:r>
    </w:p>
    <w:p w14:paraId="7914A12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return HAL_SPI_Transmit(&amp;hspi2, data, size, 0xff);</w:t>
      </w:r>
    </w:p>
    <w:p w14:paraId="6B60B9C1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27AD8BF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/* USER CODE END 4 */</w:t>
      </w:r>
    </w:p>
    <w:p w14:paraId="6861E33D">
      <w:p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6066F00C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以及main函数里添加下面函数即可进行测试：</w:t>
      </w:r>
    </w:p>
    <w:p w14:paraId="656626B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BEGIN 2 */</w:t>
      </w:r>
    </w:p>
    <w:p w14:paraId="52999AB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LCD_Init();</w:t>
      </w:r>
    </w:p>
    <w:p w14:paraId="053EEB8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LCD_Clear(BLACK);</w:t>
      </w:r>
    </w:p>
    <w:p w14:paraId="43676676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HAL_Delay(1000);</w:t>
      </w:r>
    </w:p>
    <w:p w14:paraId="51DB2D0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  <w:lang w:val="en-US" w:eastAsia="zh-CN"/>
        </w:rPr>
        <w:t>LCD_Show_Image(0, 0, 240, 135, fixed_graphic);</w:t>
      </w:r>
    </w:p>
    <w:p w14:paraId="1ABC7FBE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/* USER CODE END 2 */</w:t>
      </w:r>
    </w:p>
    <w:p w14:paraId="3C9383D7">
      <w:pPr>
        <w:jc w:val="both"/>
        <w:rPr>
          <w:rFonts w:hint="default" w:ascii="Times New Roman" w:hAnsi="Times New Roman" w:cs="Times New Roman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DA0FB6D">
      <w:pPr>
        <w:jc w:val="both"/>
        <w:outlineLvl w:val="0"/>
        <w:rPr>
          <w:rFonts w:hint="eastAsia" w:ascii="Times New Roman" w:hAnsi="Times New Roman" w:cs="Times New Roman"/>
          <w:b/>
          <w:bCs/>
          <w:lang w:val="en-US" w:eastAsia="zh-CN"/>
        </w:rPr>
      </w:pPr>
      <w:bookmarkStart w:id="10" w:name="_Toc14413"/>
      <w:r>
        <w:rPr>
          <w:rFonts w:hint="eastAsia" w:ascii="Times New Roman" w:hAnsi="Times New Roman" w:cs="Times New Roman"/>
          <w:b/>
          <w:bCs/>
          <w:lang w:val="en-US" w:eastAsia="zh-CN"/>
        </w:rPr>
        <w:t>11、I2C（AS5600）设置</w:t>
      </w:r>
      <w:bookmarkEnd w:id="10"/>
    </w:p>
    <w:p w14:paraId="4CA25F72">
      <w:p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（1）基本外设设置</w:t>
      </w:r>
    </w:p>
    <w:p w14:paraId="5B33D1B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Speed Mode：选择I2C通信的速度模式。这里设置为Standard Mode速度为100kHz。</w:t>
      </w:r>
    </w:p>
    <w:p w14:paraId="01A72AE0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I2C Clock Speed (Hz)：设置I2C总线的时钟速度。这里设置为100000Hz，即100kHz。</w:t>
      </w:r>
    </w:p>
    <w:p w14:paraId="259E01E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Clock No Stretch Mode：时钟拉伸模式，允许从设备在需要时钟信号上添加额外的等待时间，以减慢主设备的读取速度。这里设置为Disabled，不使用时钟拉伸模式。</w:t>
      </w:r>
    </w:p>
    <w:p w14:paraId="7D8008F5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Primary Address Length selection：选择从设备的地址长度。这里设置为7-bit，表示从设备的地址为7位长。</w:t>
      </w:r>
    </w:p>
    <w:p w14:paraId="07AF2247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Dual Address Acknowledged：允许从设备有两个地址，主设备可以通过任一地址访问它。这里设置为Disabled，表示不使用双地址。</w:t>
      </w:r>
    </w:p>
    <w:p w14:paraId="18161EDF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Primary slave address：设置从设备的主地址。这里设置为0，表示从设备的地址为0x00。</w:t>
      </w:r>
    </w:p>
    <w:p w14:paraId="4D2C753A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General Call address detection：通用调用地址检测，主设备可以向所有从设备发送通用调用。这里设置为Disabled，表示不检测通用调用地址。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EF1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E556D0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36825" cy="1609725"/>
                  <wp:effectExtent l="0" t="0" r="3175" b="3175"/>
                  <wp:docPr id="17004821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4821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14C7490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</w:rPr>
              <w:drawing>
                <wp:inline distT="0" distB="0" distL="0" distR="0">
                  <wp:extent cx="2525395" cy="1711960"/>
                  <wp:effectExtent l="0" t="0" r="1905" b="2540"/>
                  <wp:docPr id="1503642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64258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C522D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（2）Hardware组设置</w:t>
      </w:r>
    </w:p>
    <w:p w14:paraId="6D8CDBB3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把AS5600.c、AS5600.h导入进去，再进行编译。编译成功后在AS5600.c的文件夹里面会出现AS5600.h。把Hardware里面多余的的AS5600.h删掉即可。</w:t>
      </w:r>
    </w:p>
    <w:p w14:paraId="0EC07448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***对于I2C2不再赘述。***</w:t>
      </w:r>
    </w:p>
    <w:p w14:paraId="79AB446E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至此，基本外设已经配置完成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617247FC">
      <w:pPr>
        <w:jc w:val="both"/>
        <w:rPr>
          <w:rFonts w:hint="eastAsia" w:ascii="Times New Roman" w:hAnsi="Times New Roman" w:cs="Times New Roman"/>
          <w:lang w:val="en-US" w:eastAsia="zh-CN"/>
        </w:rPr>
      </w:pPr>
    </w:p>
    <w:p w14:paraId="79C7EAF3">
      <w:pPr>
        <w:jc w:val="both"/>
        <w:outlineLvl w:val="0"/>
        <w:rPr>
          <w:rFonts w:hint="default" w:ascii="Times New Roman" w:hAnsi="Times New Roman" w:cs="Times New Roman"/>
          <w:lang w:val="en-US" w:eastAsia="zh-CN"/>
        </w:rPr>
      </w:pPr>
      <w:bookmarkStart w:id="11" w:name="_Toc21950"/>
      <w:r>
        <w:rPr>
          <w:rFonts w:hint="eastAsia" w:ascii="Times New Roman" w:hAnsi="Times New Roman" w:cs="Times New Roman"/>
          <w:b/>
          <w:bCs/>
          <w:lang w:val="en-US" w:eastAsia="zh-CN"/>
        </w:rPr>
        <w:t>12、Hal库bug</w:t>
      </w:r>
      <w:bookmarkEnd w:id="11"/>
    </w:p>
    <w:p w14:paraId="5067E6CA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（1）tim.c</w:t>
      </w:r>
    </w:p>
    <w:p w14:paraId="0A49C825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进入tim.c，找到：</w:t>
      </w:r>
    </w:p>
    <w:p w14:paraId="0430DC0A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__HAL_TIM_CLEAR_FLAG(&amp;htim1, TIM_FLAG_UPDATE);</w:t>
      </w:r>
    </w:p>
    <w:p w14:paraId="0856DC40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__HAL_TIM_CLEAR_FLAG(&amp;htim8, TIM_FLAG_UPDATE);</w:t>
      </w:r>
    </w:p>
    <w:p w14:paraId="2B68F0F1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__HAL_TIM_CLEAR_FLAG(&amp;htim6, TIM_FLAG_UPDATE);</w:t>
      </w:r>
    </w:p>
    <w:p w14:paraId="5462DCB6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将两者分别移动到</w:t>
      </w:r>
    </w:p>
    <w:p w14:paraId="0011A4D6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BEGIN TIM1_Init 0 */</w:t>
      </w:r>
    </w:p>
    <w:p w14:paraId="4494EDC1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END TIM1_Init 0 */</w:t>
      </w:r>
    </w:p>
    <w:p w14:paraId="4A27F423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以及</w:t>
      </w:r>
    </w:p>
    <w:p w14:paraId="3D2F6DFB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/* USER CODE BEGIN TIM8_Init 0 */</w:t>
      </w:r>
    </w:p>
    <w:p w14:paraId="4226F30D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END TIM8_Init 0 */</w:t>
      </w:r>
    </w:p>
    <w:p w14:paraId="5B56B46F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以及</w:t>
      </w:r>
    </w:p>
    <w:p w14:paraId="70FD588F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/* USER CODE BEGIN TIM6_Init 0 */</w:t>
      </w:r>
    </w:p>
    <w:p w14:paraId="4E272CBB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END TIM6_Init 0 */</w:t>
      </w:r>
    </w:p>
    <w:p w14:paraId="5B132077">
      <w:pPr>
        <w:jc w:val="both"/>
        <w:rPr>
          <w:rFonts w:hint="eastAsia" w:ascii="Times New Roman" w:hAnsi="Times New Roman" w:cs="Times New Roman"/>
          <w:lang w:val="en-US" w:eastAsia="zh-CN"/>
        </w:rPr>
      </w:pPr>
    </w:p>
    <w:p w14:paraId="3EA24899">
      <w:p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（2）i2c.c</w:t>
      </w:r>
    </w:p>
    <w:p w14:paraId="384678F4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进入i2c.c，找到</w:t>
      </w:r>
    </w:p>
    <w:p w14:paraId="30E37EE8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__HAL_RCC_GPIOB_CLK_ENABLE();（I2C1和I2C2都要）</w:t>
      </w:r>
    </w:p>
    <w:p w14:paraId="0AA7E602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将两者分别移动到</w:t>
      </w:r>
    </w:p>
    <w:p w14:paraId="151D9056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BEGIN I2C1_MspInit 0 */</w:t>
      </w:r>
    </w:p>
    <w:p w14:paraId="45EF689C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END I2C1_MspInit 0 */</w:t>
      </w:r>
    </w:p>
    <w:p w14:paraId="4C2090AC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以及</w:t>
      </w:r>
    </w:p>
    <w:p w14:paraId="36CA28F8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BEGIN I2C2_MspInit 0 */</w:t>
      </w:r>
    </w:p>
    <w:p w14:paraId="3FD93FAC">
      <w:p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 /* USER CODE END I2C2_MspInit 0 */</w:t>
      </w:r>
    </w:p>
    <w:p w14:paraId="1AD1325B">
      <w:pPr>
        <w:jc w:val="both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32396"/>
    <w:rsid w:val="1B8D16B9"/>
    <w:rsid w:val="389409A7"/>
    <w:rsid w:val="50F32396"/>
    <w:rsid w:val="56B422EC"/>
    <w:rsid w:val="72FA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3442</Words>
  <Characters>6862</Characters>
  <Lines>0</Lines>
  <Paragraphs>0</Paragraphs>
  <TotalTime>30</TotalTime>
  <ScaleCrop>false</ScaleCrop>
  <LinksUpToDate>false</LinksUpToDate>
  <CharactersWithSpaces>7459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2026-03-16T06:59:00Z</dcterms:created>
  <dc:creator>钟宗杰</dc:creator>
  <cp:lastModifiedBy>钟宗杰</cp:lastModifiedBy>
  <dcterms:modified xsi:type="dcterms:W3CDTF">2026-03-16T13:23:30Z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A6C6DAFBFC684516BA17DDC714BFE94A_11</vt:lpwstr>
  </property>
  <property fmtid="{D5CDD505-2E9C-101B-9397-08002B2CF9AE}" pid="4" name="KSOTemplateDocerSaveRecord">
    <vt:lpwstr>eyJoZGlkIjoiMjBlZmI2OTNlM2EyZjI4ZTQwNjMxZDE1ZTMwZGFhMWIiLCJ1c2VySWQiOiIxNjg1MzY0NzQ4In0=</vt:lpwstr>
  </property>
</Properties>
</file>