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b/>
          <w:b/>
          <w:sz w:val="20"/>
          <w:szCs w:val="20"/>
        </w:rPr>
      </w:pPr>
      <w:r>
        <w:rPr>
          <w:rFonts w:cs="Arial" w:ascii="Arial" w:hAnsi="Arial"/>
          <w:b/>
          <w:sz w:val="20"/>
          <w:szCs w:val="20"/>
        </w:rPr>
        <w:t>OBJETIVO</w:t>
      </w:r>
    </w:p>
    <w:p>
      <w:pPr>
        <w:pStyle w:val="Normal"/>
        <w:jc w:val="both"/>
        <w:rPr>
          <w:rFonts w:ascii="Arial" w:hAnsi="Arial" w:cs="Arial"/>
          <w:sz w:val="20"/>
          <w:szCs w:val="20"/>
        </w:rPr>
      </w:pPr>
      <w:r>
        <w:rPr>
          <w:rFonts w:cs="Arial" w:ascii="Arial" w:hAnsi="Arial"/>
          <w:sz w:val="20"/>
          <w:szCs w:val="20"/>
        </w:rPr>
        <w:t>Establecer un procedimiento de compras e importación, para todos los productos críticos, bienes y servicios, asegurando el abastecimiento según las necesidades de cada departamento, cuidando la calidad y los costos.</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1"/>
        </w:numPr>
        <w:rPr>
          <w:rFonts w:ascii="Arial" w:hAnsi="Arial" w:cs="Arial"/>
          <w:b/>
          <w:b/>
          <w:sz w:val="20"/>
          <w:szCs w:val="20"/>
        </w:rPr>
      </w:pPr>
      <w:r>
        <w:rPr>
          <w:rFonts w:cs="Arial" w:ascii="Arial" w:hAnsi="Arial"/>
          <w:b/>
          <w:sz w:val="20"/>
          <w:szCs w:val="20"/>
        </w:rPr>
        <w:t>ALCANCE</w:t>
      </w:r>
    </w:p>
    <w:p>
      <w:pPr>
        <w:pStyle w:val="Normal"/>
        <w:jc w:val="both"/>
        <w:rPr>
          <w:rFonts w:ascii="Arial" w:hAnsi="Arial" w:cs="Arial"/>
          <w:sz w:val="20"/>
          <w:szCs w:val="20"/>
        </w:rPr>
      </w:pPr>
      <w:r>
        <w:rPr>
          <w:rFonts w:cs="Arial" w:ascii="Arial" w:hAnsi="Arial"/>
          <w:sz w:val="20"/>
          <w:szCs w:val="20"/>
        </w:rPr>
        <w:t>Este procedimiento aplica para todas las compras e importación de productos críticos, bienes y servicios que se requieren para cada área de la empresa AVIPAZ CIA. LTDA.</w:t>
      </w:r>
    </w:p>
    <w:p>
      <w:pPr>
        <w:pStyle w:val="ListParagraph"/>
        <w:ind w:left="360" w:hanging="0"/>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b/>
          <w:b/>
          <w:sz w:val="20"/>
          <w:szCs w:val="20"/>
        </w:rPr>
      </w:pPr>
      <w:r>
        <w:rPr>
          <w:rFonts w:cs="Arial" w:ascii="Arial" w:hAnsi="Arial"/>
          <w:b/>
          <w:sz w:val="20"/>
          <w:szCs w:val="20"/>
        </w:rPr>
        <w:t>RESPONSABILIDADES</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Gerente de Adquisiciones.</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Asistente de Adquisiciones. </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Director de Control de Calidad</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Gerente Comercial &amp; Marketing</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Director de Mantenimiento </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Responsable de SSO</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Gerente General</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Nutricionista</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Responsable de Bodega de Macros y Empaque</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Responsable de Bodega de Micros</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Director de Producción</w:t>
      </w:r>
    </w:p>
    <w:p>
      <w:pPr>
        <w:pStyle w:val="ListParagraph"/>
        <w:numPr>
          <w:ilvl w:val="0"/>
          <w:numId w:val="2"/>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Asistente Contable 1</w:t>
      </w:r>
    </w:p>
    <w:p>
      <w:pPr>
        <w:pStyle w:val="ListParagraph"/>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b/>
          <w:b/>
          <w:sz w:val="20"/>
          <w:szCs w:val="20"/>
        </w:rPr>
      </w:pPr>
      <w:r>
        <w:rPr>
          <w:rFonts w:cs="Arial" w:ascii="Arial" w:hAnsi="Arial"/>
          <w:b/>
          <w:sz w:val="20"/>
          <w:szCs w:val="20"/>
        </w:rPr>
        <w:t>DEFINICIONES</w:t>
      </w:r>
    </w:p>
    <w:p>
      <w:pPr>
        <w:pStyle w:val="Normal"/>
        <w:spacing w:lineRule="auto" w:line="360"/>
        <w:jc w:val="both"/>
        <w:rPr>
          <w:rFonts w:ascii="Arial" w:hAnsi="Arial" w:cs="Arial"/>
          <w:sz w:val="20"/>
          <w:szCs w:val="20"/>
        </w:rPr>
      </w:pPr>
      <w:r>
        <w:rPr>
          <w:rFonts w:cs="Arial" w:ascii="Arial" w:hAnsi="Arial"/>
          <w:b/>
          <w:i/>
          <w:sz w:val="20"/>
          <w:szCs w:val="20"/>
        </w:rPr>
        <w:t>Producto Crítico:</w:t>
      </w:r>
      <w:r>
        <w:rPr>
          <w:rFonts w:cs="Arial" w:ascii="Arial" w:hAnsi="Arial"/>
          <w:sz w:val="20"/>
          <w:szCs w:val="20"/>
        </w:rPr>
        <w:t xml:space="preserve"> </w:t>
      </w:r>
      <w:r>
        <w:rPr>
          <w:rFonts w:cs="Arial" w:ascii="Arial" w:hAnsi="Arial"/>
          <w:color w:val="222222"/>
          <w:sz w:val="20"/>
          <w:szCs w:val="20"/>
          <w:shd w:fill="FFFFFF" w:val="clear"/>
        </w:rPr>
        <w:t xml:space="preserve">Cosa producida natural o artificialmente, o resultado de un trabajo u operación. </w:t>
      </w:r>
      <w:r>
        <w:rPr>
          <w:rFonts w:cs="Arial" w:ascii="Arial" w:hAnsi="Arial"/>
          <w:sz w:val="20"/>
          <w:szCs w:val="20"/>
        </w:rPr>
        <w:t>Todos los productos que constituyan parte del producto terminado e inciden directamente en el mismo.</w:t>
      </w:r>
    </w:p>
    <w:p>
      <w:pPr>
        <w:pStyle w:val="Normal"/>
        <w:numPr>
          <w:ilvl w:val="0"/>
          <w:numId w:val="3"/>
        </w:numPr>
        <w:spacing w:lineRule="auto" w:line="360" w:before="0" w:after="0"/>
        <w:jc w:val="both"/>
        <w:rPr>
          <w:rFonts w:ascii="Arial" w:hAnsi="Arial" w:cs="Arial"/>
          <w:sz w:val="20"/>
          <w:szCs w:val="20"/>
        </w:rPr>
      </w:pPr>
      <w:r>
        <w:rPr>
          <w:rFonts w:cs="Arial" w:ascii="Arial" w:hAnsi="Arial"/>
          <w:sz w:val="20"/>
          <w:szCs w:val="20"/>
        </w:rPr>
        <w:t>Insumos Macronutrientes - Orgánicos</w:t>
      </w:r>
    </w:p>
    <w:p>
      <w:pPr>
        <w:pStyle w:val="Normal"/>
        <w:numPr>
          <w:ilvl w:val="0"/>
          <w:numId w:val="3"/>
        </w:numPr>
        <w:spacing w:lineRule="auto" w:line="360" w:before="0" w:after="0"/>
        <w:jc w:val="both"/>
        <w:rPr>
          <w:rFonts w:ascii="Arial" w:hAnsi="Arial" w:cs="Arial"/>
          <w:sz w:val="20"/>
          <w:szCs w:val="20"/>
        </w:rPr>
      </w:pPr>
      <w:r>
        <w:rPr>
          <w:rFonts w:cs="Arial" w:ascii="Arial" w:hAnsi="Arial"/>
          <w:sz w:val="20"/>
          <w:szCs w:val="20"/>
        </w:rPr>
        <w:t>Insumos Micronutrientes - Inorgánicos</w:t>
      </w:r>
    </w:p>
    <w:p>
      <w:pPr>
        <w:pStyle w:val="Normal"/>
        <w:numPr>
          <w:ilvl w:val="0"/>
          <w:numId w:val="3"/>
        </w:numPr>
        <w:spacing w:lineRule="auto" w:line="360" w:before="0" w:after="0"/>
        <w:jc w:val="both"/>
        <w:rPr>
          <w:rFonts w:ascii="Arial" w:hAnsi="Arial" w:cs="Arial"/>
          <w:sz w:val="20"/>
          <w:szCs w:val="20"/>
        </w:rPr>
      </w:pPr>
      <w:r>
        <w:rPr>
          <w:rFonts w:cs="Arial" w:ascii="Arial" w:hAnsi="Arial"/>
          <w:sz w:val="20"/>
          <w:szCs w:val="20"/>
        </w:rPr>
        <w:t>Sacos Polipropileno - Hilos</w:t>
      </w:r>
    </w:p>
    <w:p>
      <w:pPr>
        <w:pStyle w:val="Normal"/>
        <w:numPr>
          <w:ilvl w:val="0"/>
          <w:numId w:val="3"/>
        </w:numPr>
        <w:spacing w:lineRule="auto" w:line="360" w:before="0" w:after="0"/>
        <w:jc w:val="both"/>
        <w:rPr>
          <w:rFonts w:ascii="Arial" w:hAnsi="Arial" w:cs="Arial"/>
          <w:sz w:val="20"/>
          <w:szCs w:val="20"/>
        </w:rPr>
      </w:pPr>
      <w:r>
        <w:rPr>
          <w:rFonts w:cs="Arial" w:ascii="Arial" w:hAnsi="Arial"/>
          <w:sz w:val="20"/>
          <w:szCs w:val="20"/>
        </w:rPr>
        <w:t>Etiquetas</w:t>
      </w:r>
    </w:p>
    <w:p>
      <w:pPr>
        <w:pStyle w:val="Normal"/>
        <w:spacing w:lineRule="auto" w:line="360"/>
        <w:rPr>
          <w:rFonts w:ascii="Arial" w:hAnsi="Arial" w:cs="Arial"/>
          <w:b/>
          <w:b/>
          <w:i/>
          <w:i/>
          <w:sz w:val="20"/>
          <w:szCs w:val="20"/>
        </w:rPr>
      </w:pPr>
      <w:r>
        <w:rPr>
          <w:rFonts w:cs="Arial" w:ascii="Arial" w:hAnsi="Arial"/>
          <w:b/>
          <w:i/>
          <w:sz w:val="20"/>
          <w:szCs w:val="20"/>
        </w:rPr>
      </w:r>
      <w:r>
        <w:br w:type="page"/>
      </w:r>
    </w:p>
    <w:p>
      <w:pPr>
        <w:pStyle w:val="Normal"/>
        <w:spacing w:lineRule="auto" w:line="360"/>
        <w:jc w:val="both"/>
        <w:rPr>
          <w:rFonts w:ascii="Arial" w:hAnsi="Arial" w:cs="Arial"/>
          <w:sz w:val="20"/>
          <w:szCs w:val="20"/>
        </w:rPr>
      </w:pPr>
      <w:r>
        <w:rPr>
          <w:rFonts w:cs="Arial" w:ascii="Arial" w:hAnsi="Arial"/>
          <w:b/>
          <w:i/>
          <w:sz w:val="20"/>
          <w:szCs w:val="20"/>
        </w:rPr>
        <w:t>Bienes. -</w:t>
      </w:r>
      <w:r>
        <w:rPr>
          <w:rFonts w:cs="Arial" w:ascii="Arial" w:hAnsi="Arial"/>
          <w:sz w:val="20"/>
          <w:szCs w:val="20"/>
        </w:rPr>
        <w:t xml:space="preserve"> Objetos  o cosas que requiere una empresa  para el desarrollo de sus actividades  y cumplimiento  de sus fines complementarios que no intervienen directamente   en el proceso productivo.</w:t>
      </w:r>
    </w:p>
    <w:p>
      <w:pPr>
        <w:pStyle w:val="Normal"/>
        <w:spacing w:lineRule="auto" w:line="360"/>
        <w:jc w:val="both"/>
        <w:rPr>
          <w:rFonts w:ascii="Arial" w:hAnsi="Arial" w:cs="Arial"/>
          <w:sz w:val="20"/>
          <w:szCs w:val="20"/>
        </w:rPr>
      </w:pPr>
      <w:r>
        <w:rPr>
          <w:rFonts w:cs="Arial" w:ascii="Arial" w:hAnsi="Arial"/>
          <w:b/>
          <w:i/>
          <w:sz w:val="20"/>
          <w:szCs w:val="20"/>
        </w:rPr>
        <w:t xml:space="preserve"> </w:t>
      </w:r>
      <w:r>
        <w:rPr>
          <w:rFonts w:cs="Arial" w:ascii="Arial" w:hAnsi="Arial"/>
          <w:b/>
          <w:i/>
          <w:sz w:val="20"/>
          <w:szCs w:val="20"/>
        </w:rPr>
        <w:t>Servicios:</w:t>
      </w:r>
      <w:r>
        <w:rPr>
          <w:rFonts w:cs="Arial" w:ascii="Arial" w:hAnsi="Arial"/>
          <w:sz w:val="20"/>
          <w:szCs w:val="20"/>
        </w:rPr>
        <w:t xml:space="preserve"> actividades de fuente no material (intangible) que utiliza la empresa para el desarrollo de sus actividades y cumplimiento de sus fines complementarios que no intervienen directamente   en el proceso productivo.</w:t>
      </w:r>
    </w:p>
    <w:p>
      <w:pPr>
        <w:pStyle w:val="Normal"/>
        <w:rPr/>
      </w:pPr>
      <w:r>
        <w:rPr>
          <w:b/>
          <w:i/>
        </w:rPr>
        <w:t>Compras:</w:t>
      </w:r>
      <w:r>
        <w:rPr/>
        <w:t xml:space="preserve"> Es el acto de adquisición de un producto crítico, bien o servicio, a cambio de un costo.</w:t>
      </w:r>
    </w:p>
    <w:p>
      <w:pPr>
        <w:pStyle w:val="Normal"/>
        <w:rPr/>
      </w:pPr>
      <w:r>
        <w:rPr>
          <w:b/>
          <w:i/>
        </w:rPr>
        <w:t>Importación:</w:t>
      </w:r>
      <w:r>
        <w:rPr/>
        <w:t xml:space="preserve"> Acción de comprar un producto extranjero.</w:t>
      </w:r>
    </w:p>
    <w:p>
      <w:pPr>
        <w:pStyle w:val="Normal"/>
        <w:spacing w:lineRule="auto" w:line="360"/>
        <w:jc w:val="both"/>
        <w:rPr>
          <w:rFonts w:ascii="Arial" w:hAnsi="Arial" w:cs="Arial"/>
          <w:b/>
          <w:b/>
          <w:sz w:val="20"/>
          <w:szCs w:val="20"/>
        </w:rPr>
      </w:pPr>
      <w:r>
        <w:rPr>
          <w:rFonts w:cs="Arial" w:ascii="Arial" w:hAnsi="Arial"/>
          <w:b/>
          <w:sz w:val="20"/>
          <w:szCs w:val="20"/>
        </w:rPr>
        <w:t>DESARROLLO</w:t>
      </w:r>
    </w:p>
    <w:p>
      <w:pPr>
        <w:pStyle w:val="ListParagraph"/>
        <w:ind w:left="360" w:hanging="0"/>
        <w:rPr>
          <w:rFonts w:ascii="Arial" w:hAnsi="Arial" w:cs="Arial"/>
          <w:b/>
          <w:b/>
          <w:sz w:val="20"/>
          <w:szCs w:val="20"/>
        </w:rPr>
      </w:pPr>
      <w:r>
        <w:rPr>
          <w:rFonts w:cs="Arial" w:ascii="Arial" w:hAnsi="Arial"/>
          <w:b/>
          <w:sz w:val="20"/>
          <w:szCs w:val="20"/>
        </w:rPr>
      </w:r>
    </w:p>
    <w:p>
      <w:pPr>
        <w:pStyle w:val="ListParagraph"/>
        <w:widowControl w:val="false"/>
        <w:numPr>
          <w:ilvl w:val="1"/>
          <w:numId w:val="4"/>
        </w:numPr>
        <w:spacing w:lineRule="auto" w:line="240" w:before="0" w:after="0"/>
        <w:ind w:left="426" w:hanging="426"/>
        <w:jc w:val="both"/>
        <w:rPr>
          <w:rFonts w:ascii="Arial" w:hAnsi="Arial" w:cs="Arial"/>
          <w:b/>
          <w:b/>
          <w:sz w:val="20"/>
          <w:szCs w:val="20"/>
        </w:rPr>
      </w:pPr>
      <w:r>
        <w:rPr>
          <w:rFonts w:cs="Arial" w:ascii="Arial" w:hAnsi="Arial"/>
          <w:b/>
          <w:sz w:val="20"/>
          <w:szCs w:val="20"/>
        </w:rPr>
        <w:t xml:space="preserve">COMPRAS DE PRODUCTOS CRITICOS </w:t>
      </w:r>
    </w:p>
    <w:p>
      <w:pPr>
        <w:pStyle w:val="ListParagraph"/>
        <w:ind w:left="360" w:hanging="0"/>
        <w:rPr>
          <w:rFonts w:ascii="Arial" w:hAnsi="Arial" w:cs="Arial"/>
          <w:b/>
          <w:b/>
          <w:sz w:val="20"/>
          <w:szCs w:val="20"/>
        </w:rPr>
      </w:pPr>
      <w:r>
        <w:rPr>
          <w:rFonts w:cs="Arial" w:ascii="Arial" w:hAnsi="Arial"/>
          <w:b/>
          <w:sz w:val="20"/>
          <w:szCs w:val="20"/>
        </w:rPr>
      </w:r>
    </w:p>
    <w:p>
      <w:pPr>
        <w:pStyle w:val="ListParagraph"/>
        <w:rPr>
          <w:rFonts w:ascii="Arial" w:hAnsi="Arial" w:cs="Arial"/>
          <w:b/>
          <w:b/>
          <w:sz w:val="20"/>
          <w:szCs w:val="20"/>
        </w:rPr>
      </w:pPr>
      <w:r>
        <w:rPr>
          <w:rFonts w:cs="Arial" w:ascii="Arial" w:hAnsi="Arial"/>
          <w:b/>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y/o Asistente de Adquisiciones, receptará el documento “Requisición de Compra” (</w:t>
      </w:r>
      <w:r>
        <w:rPr>
          <w:rFonts w:cs="Arial" w:ascii="Arial" w:hAnsi="Arial"/>
          <w:b/>
          <w:sz w:val="20"/>
          <w:szCs w:val="20"/>
        </w:rPr>
        <w:t>CO/01-01</w:t>
      </w:r>
      <w:r>
        <w:rPr>
          <w:rFonts w:cs="Arial" w:ascii="Arial" w:hAnsi="Arial"/>
          <w:sz w:val="20"/>
          <w:szCs w:val="20"/>
        </w:rPr>
        <w:t>) que será entregado por los responsables de Bodega Macros y Empaques, Responsable de Bodega Micro, y los distintos departamentos de la empresa que necesiten productos críticos, ya sea vía mail o en físico.</w:t>
      </w:r>
    </w:p>
    <w:p>
      <w:pPr>
        <w:pStyle w:val="ListParagraph"/>
        <w:ind w:left="1276" w:hanging="0"/>
        <w:jc w:val="bot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y/o Asistente de Adquisiciones realizara el análisis de la “Requisición de Compra”, considerando, volúmenes de compra, fechas de entrega solicitadas y pedido de cambio de productos por el Gerente General.</w:t>
      </w:r>
    </w:p>
    <w:p>
      <w:pPr>
        <w:pStyle w:val="ListParagraph"/>
        <w:ind w:left="1276" w:hanging="0"/>
        <w:jc w:val="bot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Asistente de Adquisiciones realiza las llamadas telefónicas a los proveedores calificados (Ver CO/02 Procedimiento para la Evaluación y Calificación de Proveedores), genera la “Orden de Compra” (</w:t>
      </w:r>
      <w:r>
        <w:rPr>
          <w:rFonts w:cs="Arial" w:ascii="Arial" w:hAnsi="Arial"/>
          <w:b/>
          <w:sz w:val="20"/>
          <w:szCs w:val="20"/>
        </w:rPr>
        <w:t>Anexo 1</w:t>
      </w:r>
      <w:r>
        <w:rPr>
          <w:rFonts w:cs="Arial" w:ascii="Arial" w:hAnsi="Arial"/>
          <w:sz w:val="20"/>
          <w:szCs w:val="20"/>
        </w:rPr>
        <w:t>) del producto en el sistema SACI y envía vía correo electrónico (scaneado) al proveedor con el respectivo pedido.</w:t>
      </w:r>
    </w:p>
    <w:p>
      <w:pPr>
        <w:pStyle w:val="ListParagraph"/>
        <w:rPr>
          <w:rFonts w:ascii="Arial" w:hAnsi="Arial" w:cs="Arial"/>
          <w:sz w:val="20"/>
          <w:szCs w:val="20"/>
        </w:rPr>
      </w:pPr>
      <w:r>
        <w:rPr>
          <w:rFonts w:cs="Arial" w:ascii="Arial" w:hAnsi="Arial"/>
          <w:sz w:val="20"/>
          <w:szCs w:val="20"/>
        </w:rPr>
      </w:r>
    </w:p>
    <w:p>
      <w:pPr>
        <w:pStyle w:val="ListParagraph"/>
        <w:ind w:left="1276" w:hanging="0"/>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276" w:hanging="567"/>
        <w:jc w:val="both"/>
        <w:rPr>
          <w:rFonts w:ascii="Arial" w:hAnsi="Arial" w:cs="Arial"/>
          <w:sz w:val="20"/>
          <w:szCs w:val="20"/>
        </w:rPr>
      </w:pPr>
      <w:r>
        <w:rPr>
          <w:rFonts w:cs="Arial" w:ascii="Arial" w:hAnsi="Arial"/>
          <w:sz w:val="20"/>
          <w:szCs w:val="20"/>
        </w:rPr>
        <w:t>El Asistente de Adquisiciones imprime la “Orden de Compra” (</w:t>
      </w:r>
      <w:r>
        <w:rPr>
          <w:rFonts w:cs="Arial" w:ascii="Arial" w:hAnsi="Arial"/>
          <w:b/>
          <w:sz w:val="20"/>
          <w:szCs w:val="20"/>
        </w:rPr>
        <w:t>Anexo 1</w:t>
      </w:r>
      <w:r>
        <w:rPr>
          <w:rFonts w:cs="Arial" w:ascii="Arial" w:hAnsi="Arial"/>
          <w:sz w:val="20"/>
          <w:szCs w:val="20"/>
        </w:rPr>
        <w:t>) y la entrega a los Responsables Bodegas de Macros y Empaque, y/o Responsable de Bodega de Micros.</w:t>
      </w:r>
    </w:p>
    <w:p>
      <w:pPr>
        <w:pStyle w:val="Normal"/>
        <w:widowControl w:val="false"/>
        <w:spacing w:lineRule="auto" w:line="240" w:before="0" w:after="0"/>
        <w:ind w:left="1276" w:hanging="567"/>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276" w:hanging="567"/>
        <w:jc w:val="both"/>
        <w:rPr>
          <w:rFonts w:ascii="Arial" w:hAnsi="Arial" w:cs="Arial"/>
          <w:sz w:val="20"/>
          <w:szCs w:val="20"/>
        </w:rPr>
      </w:pPr>
      <w:r>
        <w:rPr>
          <w:rFonts w:cs="Arial" w:ascii="Arial" w:hAnsi="Arial"/>
          <w:sz w:val="20"/>
          <w:szCs w:val="20"/>
        </w:rPr>
        <w:t>Al llegar el producto a la empresa los Responsables de Bodega de Micros y/o Responsable de Bodega de Macros y Empaques, verifica que el producto recibido cumpla con lo indicado en la orden de compra, además del cumplimiento de las características solicitadas mediante el “Procedimiento de Recepción, Almacenamiento, Salida de Material de Empaque (</w:t>
      </w:r>
      <w:r>
        <w:rPr>
          <w:rFonts w:cs="Arial" w:ascii="Arial" w:hAnsi="Arial"/>
          <w:b/>
          <w:sz w:val="20"/>
          <w:szCs w:val="20"/>
        </w:rPr>
        <w:t>MA/02)</w:t>
      </w:r>
      <w:r>
        <w:rPr>
          <w:rFonts w:cs="Arial" w:ascii="Arial" w:hAnsi="Arial"/>
          <w:sz w:val="20"/>
          <w:szCs w:val="20"/>
        </w:rPr>
        <w:t xml:space="preserve"> y Macronutrientes (</w:t>
      </w:r>
      <w:r>
        <w:rPr>
          <w:rFonts w:cs="Arial" w:ascii="Arial" w:hAnsi="Arial"/>
          <w:b/>
          <w:sz w:val="20"/>
          <w:szCs w:val="20"/>
        </w:rPr>
        <w:t>MA/01</w:t>
      </w:r>
      <w:r>
        <w:rPr>
          <w:rFonts w:cs="Arial" w:ascii="Arial" w:hAnsi="Arial"/>
          <w:sz w:val="20"/>
          <w:szCs w:val="20"/>
        </w:rPr>
        <w:t>” y “Procedimiento, Recepción, Almacenamiento y Egreso de Micro ingredientes (</w:t>
      </w:r>
      <w:r>
        <w:rPr>
          <w:rFonts w:cs="Arial" w:ascii="Arial" w:hAnsi="Arial"/>
          <w:b/>
          <w:sz w:val="20"/>
          <w:szCs w:val="20"/>
        </w:rPr>
        <w:t>MI/01</w:t>
      </w:r>
      <w:r>
        <w:rPr>
          <w:rFonts w:cs="Arial" w:ascii="Arial" w:hAnsi="Arial"/>
          <w:sz w:val="20"/>
          <w:szCs w:val="20"/>
        </w:rPr>
        <w:t>)”.</w:t>
      </w:r>
    </w:p>
    <w:p>
      <w:pPr>
        <w:pStyle w:val="ListParagraph"/>
        <w:widowControl w:val="false"/>
        <w:spacing w:lineRule="auto" w:line="240" w:before="0" w:after="0"/>
        <w:ind w:left="1276" w:hanging="567"/>
        <w:jc w:val="both"/>
        <w:rPr>
          <w:rFonts w:ascii="Arial" w:hAnsi="Arial" w:cs="Arial"/>
          <w:sz w:val="20"/>
          <w:szCs w:val="20"/>
        </w:rPr>
      </w:pPr>
      <w:r>
        <w:rPr>
          <w:rFonts w:cs="Arial" w:ascii="Arial" w:hAnsi="Arial"/>
          <w:sz w:val="20"/>
          <w:szCs w:val="20"/>
        </w:rPr>
        <w:t xml:space="preserve"> </w:t>
      </w:r>
    </w:p>
    <w:p>
      <w:pPr>
        <w:pStyle w:val="ListParagraph"/>
        <w:widowControl w:val="false"/>
        <w:spacing w:lineRule="auto" w:line="240" w:before="0" w:after="0"/>
        <w:ind w:left="1276" w:hanging="567"/>
        <w:jc w:val="both"/>
        <w:rPr>
          <w:rFonts w:ascii="Arial" w:hAnsi="Arial" w:cs="Arial"/>
          <w:sz w:val="20"/>
          <w:szCs w:val="20"/>
        </w:rPr>
      </w:pPr>
      <w:r>
        <w:rPr>
          <w:rFonts w:cs="Arial" w:ascii="Arial" w:hAnsi="Arial"/>
          <w:sz w:val="20"/>
          <w:szCs w:val="20"/>
        </w:rPr>
      </w:r>
    </w:p>
    <w:p>
      <w:pPr>
        <w:pStyle w:val="ListParagraph"/>
        <w:widowControl w:val="false"/>
        <w:spacing w:lineRule="auto" w:line="240" w:before="0" w:after="0"/>
        <w:ind w:left="1276" w:hanging="567"/>
        <w:jc w:val="both"/>
        <w:rPr>
          <w:rFonts w:ascii="Arial" w:hAnsi="Arial" w:cs="Arial"/>
          <w:sz w:val="20"/>
          <w:szCs w:val="20"/>
        </w:rPr>
      </w:pPr>
      <w:r>
        <w:rPr>
          <w:rFonts w:cs="Arial" w:ascii="Arial" w:hAnsi="Arial"/>
          <w:b/>
          <w:sz w:val="20"/>
          <w:szCs w:val="20"/>
        </w:rPr>
        <w:t>NOTA:</w:t>
      </w:r>
      <w:r>
        <w:rPr>
          <w:rFonts w:cs="Arial" w:ascii="Arial" w:hAnsi="Arial"/>
          <w:sz w:val="20"/>
          <w:szCs w:val="20"/>
        </w:rPr>
        <w:t xml:space="preserve"> De presentarse alguna no conformidad los responsables de Bodega Macros y Empaques y/o el Responsable de Bodega Micro deben comunicar al Director de Control de Calidad para que llene el registro “Tratamiento de Producto No Conforme” (</w:t>
      </w:r>
      <w:r>
        <w:rPr>
          <w:rFonts w:cs="Arial" w:ascii="Arial" w:hAnsi="Arial"/>
          <w:b/>
          <w:sz w:val="20"/>
          <w:szCs w:val="20"/>
        </w:rPr>
        <w:t>CC/04-01</w:t>
      </w:r>
      <w:r>
        <w:rPr>
          <w:rFonts w:cs="Arial" w:ascii="Arial" w:hAnsi="Arial"/>
          <w:sz w:val="20"/>
          <w:szCs w:val="20"/>
        </w:rPr>
        <w:t>), y este remita al Gerente de Adquisiciones para que tome la acción pertinente.</w:t>
      </w:r>
    </w:p>
    <w:p>
      <w:pPr>
        <w:pStyle w:val="ListParagraph"/>
        <w:widowControl w:val="false"/>
        <w:spacing w:lineRule="auto" w:line="240" w:before="0" w:after="0"/>
        <w:ind w:left="1276" w:hanging="567"/>
        <w:jc w:val="both"/>
        <w:rPr>
          <w:rFonts w:ascii="Arial" w:hAnsi="Arial" w:cs="Arial"/>
          <w:sz w:val="20"/>
          <w:szCs w:val="20"/>
        </w:rPr>
      </w:pPr>
      <w:r>
        <w:rPr>
          <w:rFonts w:cs="Arial" w:ascii="Arial" w:hAnsi="Arial"/>
          <w:sz w:val="20"/>
          <w:szCs w:val="20"/>
        </w:rPr>
      </w:r>
    </w:p>
    <w:p>
      <w:pPr>
        <w:pStyle w:val="ListParagraph"/>
        <w:widowControl w:val="false"/>
        <w:spacing w:lineRule="auto" w:line="240" w:before="0" w:after="0"/>
        <w:ind w:left="1276" w:hanging="567"/>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276" w:hanging="567"/>
        <w:jc w:val="both"/>
        <w:rPr>
          <w:rFonts w:ascii="Arial" w:hAnsi="Arial" w:cs="Arial"/>
          <w:sz w:val="20"/>
          <w:szCs w:val="20"/>
        </w:rPr>
      </w:pPr>
      <w:r>
        <w:rPr>
          <w:rFonts w:cs="Arial" w:ascii="Arial" w:hAnsi="Arial"/>
          <w:sz w:val="20"/>
          <w:szCs w:val="20"/>
        </w:rPr>
        <w:t xml:space="preserve">Una vez recibido los productos, los Responsables de Bodega de Micros y/o Responsable de Bodega de Macros y Empaques, entregan al Asistente de Adquisiciones el soporte documental con la siguiente información dependiendo si es Macro, Micro ingrediente o Material de Empaque: </w:t>
      </w:r>
    </w:p>
    <w:p>
      <w:pPr>
        <w:pStyle w:val="ListParagraph"/>
        <w:ind w:left="1276" w:hanging="567"/>
        <w:jc w:val="both"/>
        <w:rPr>
          <w:rFonts w:ascii="Arial" w:hAnsi="Arial" w:cs="Arial"/>
          <w:sz w:val="20"/>
          <w:szCs w:val="20"/>
        </w:rPr>
      </w:pPr>
      <w:r>
        <w:rPr>
          <w:rFonts w:cs="Arial" w:ascii="Arial" w:hAnsi="Arial"/>
          <w:sz w:val="20"/>
          <w:szCs w:val="20"/>
        </w:rPr>
      </w:r>
    </w:p>
    <w:p>
      <w:pPr>
        <w:pStyle w:val="ListParagraph"/>
        <w:widowControl w:val="false"/>
        <w:numPr>
          <w:ilvl w:val="0"/>
          <w:numId w:val="5"/>
        </w:numPr>
        <w:spacing w:lineRule="auto" w:line="240" w:before="0" w:after="0"/>
        <w:ind w:left="1560" w:hanging="284"/>
        <w:jc w:val="both"/>
        <w:rPr>
          <w:rFonts w:ascii="Arial" w:hAnsi="Arial" w:cs="Arial"/>
          <w:sz w:val="20"/>
          <w:szCs w:val="20"/>
        </w:rPr>
      </w:pPr>
      <w:r>
        <w:rPr>
          <w:rFonts w:cs="Arial" w:ascii="Arial" w:hAnsi="Arial"/>
          <w:sz w:val="20"/>
          <w:szCs w:val="20"/>
        </w:rPr>
        <w:t>“</w:t>
      </w:r>
      <w:r>
        <w:rPr>
          <w:rFonts w:cs="Arial" w:ascii="Arial" w:hAnsi="Arial"/>
          <w:sz w:val="20"/>
          <w:szCs w:val="20"/>
        </w:rPr>
        <w:t>Control de Ingreso Micros” (</w:t>
      </w:r>
      <w:r>
        <w:rPr>
          <w:rFonts w:cs="Arial" w:ascii="Arial" w:hAnsi="Arial"/>
          <w:b/>
          <w:sz w:val="20"/>
          <w:szCs w:val="20"/>
        </w:rPr>
        <w:t>MI/01-01</w:t>
      </w:r>
      <w:r>
        <w:rPr>
          <w:rFonts w:cs="Arial" w:ascii="Arial" w:hAnsi="Arial"/>
          <w:sz w:val="20"/>
          <w:szCs w:val="20"/>
        </w:rPr>
        <w:t xml:space="preserve">) </w:t>
      </w:r>
    </w:p>
    <w:p>
      <w:pPr>
        <w:pStyle w:val="ListParagraph"/>
        <w:widowControl w:val="false"/>
        <w:numPr>
          <w:ilvl w:val="0"/>
          <w:numId w:val="5"/>
        </w:numPr>
        <w:spacing w:lineRule="auto" w:line="240" w:before="0" w:after="0"/>
        <w:ind w:left="1560" w:hanging="284"/>
        <w:jc w:val="both"/>
        <w:rPr>
          <w:rFonts w:ascii="Arial" w:hAnsi="Arial" w:cs="Arial"/>
          <w:sz w:val="20"/>
          <w:szCs w:val="20"/>
        </w:rPr>
      </w:pPr>
      <w:r>
        <w:rPr>
          <w:rFonts w:cs="Arial" w:ascii="Arial" w:hAnsi="Arial"/>
          <w:sz w:val="20"/>
          <w:szCs w:val="20"/>
        </w:rPr>
        <w:t>“</w:t>
      </w:r>
      <w:r>
        <w:rPr>
          <w:rFonts w:cs="Arial" w:ascii="Arial" w:hAnsi="Arial"/>
          <w:sz w:val="20"/>
          <w:szCs w:val="20"/>
        </w:rPr>
        <w:t>Control de Ingreso Macros” (</w:t>
      </w:r>
      <w:r>
        <w:rPr>
          <w:rFonts w:cs="Arial" w:ascii="Arial" w:hAnsi="Arial"/>
          <w:b/>
          <w:sz w:val="20"/>
          <w:szCs w:val="20"/>
        </w:rPr>
        <w:t>MA/01-03</w:t>
      </w:r>
      <w:r>
        <w:rPr>
          <w:rFonts w:cs="Arial" w:ascii="Arial" w:hAnsi="Arial"/>
          <w:sz w:val="20"/>
          <w:szCs w:val="20"/>
        </w:rPr>
        <w:t>)</w:t>
      </w:r>
    </w:p>
    <w:p>
      <w:pPr>
        <w:pStyle w:val="ListParagraph"/>
        <w:widowControl w:val="false"/>
        <w:numPr>
          <w:ilvl w:val="0"/>
          <w:numId w:val="5"/>
        </w:numPr>
        <w:spacing w:lineRule="auto" w:line="240" w:before="0" w:after="0"/>
        <w:ind w:left="1560" w:hanging="284"/>
        <w:jc w:val="both"/>
        <w:rPr>
          <w:rFonts w:ascii="Arial" w:hAnsi="Arial" w:cs="Arial"/>
          <w:sz w:val="20"/>
          <w:szCs w:val="20"/>
        </w:rPr>
      </w:pPr>
      <w:r>
        <w:rPr>
          <w:rFonts w:cs="Arial" w:ascii="Arial" w:hAnsi="Arial"/>
          <w:sz w:val="20"/>
          <w:szCs w:val="20"/>
        </w:rPr>
        <w:t>“</w:t>
      </w:r>
      <w:r>
        <w:rPr>
          <w:rFonts w:cs="Arial" w:ascii="Arial" w:hAnsi="Arial"/>
          <w:sz w:val="20"/>
          <w:szCs w:val="20"/>
        </w:rPr>
        <w:t>Control de Ingreso de Material de Empaque” (</w:t>
      </w:r>
      <w:r>
        <w:rPr>
          <w:rFonts w:cs="Arial" w:ascii="Arial" w:hAnsi="Arial"/>
          <w:b/>
          <w:sz w:val="20"/>
          <w:szCs w:val="20"/>
        </w:rPr>
        <w:t>MA/02-01</w:t>
      </w:r>
      <w:r>
        <w:rPr>
          <w:rFonts w:cs="Arial" w:ascii="Arial" w:hAnsi="Arial"/>
          <w:sz w:val="20"/>
          <w:szCs w:val="20"/>
        </w:rPr>
        <w:t>)</w:t>
      </w:r>
    </w:p>
    <w:p>
      <w:pPr>
        <w:pStyle w:val="ListParagraph"/>
        <w:widowControl w:val="false"/>
        <w:numPr>
          <w:ilvl w:val="0"/>
          <w:numId w:val="5"/>
        </w:numPr>
        <w:spacing w:lineRule="auto" w:line="240" w:before="0" w:after="0"/>
        <w:ind w:left="1560" w:hanging="284"/>
        <w:jc w:val="both"/>
        <w:rPr>
          <w:rFonts w:ascii="Arial" w:hAnsi="Arial" w:cs="Arial"/>
          <w:sz w:val="20"/>
          <w:szCs w:val="20"/>
        </w:rPr>
      </w:pPr>
      <w:r>
        <w:rPr>
          <w:rFonts w:cs="Arial" w:ascii="Arial" w:hAnsi="Arial"/>
          <w:sz w:val="20"/>
          <w:szCs w:val="20"/>
        </w:rPr>
        <w:t xml:space="preserve">Guía de Remisión emitida por el proveedor </w:t>
      </w:r>
    </w:p>
    <w:p>
      <w:pPr>
        <w:pStyle w:val="ListParagraph"/>
        <w:widowControl w:val="false"/>
        <w:spacing w:lineRule="auto" w:line="240" w:before="0" w:after="0"/>
        <w:ind w:left="1560" w:hanging="0"/>
        <w:jc w:val="bot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Asistente de Adquisiciones, ingresa en el sistema contable   la “Nota de recepción” (</w:t>
      </w:r>
      <w:r>
        <w:rPr>
          <w:rFonts w:cs="Arial" w:ascii="Arial" w:hAnsi="Arial"/>
          <w:b/>
          <w:sz w:val="20"/>
          <w:szCs w:val="20"/>
        </w:rPr>
        <w:t>Anexo 2</w:t>
      </w:r>
      <w:r>
        <w:rPr>
          <w:rFonts w:cs="Arial" w:ascii="Arial" w:hAnsi="Arial"/>
          <w:sz w:val="20"/>
          <w:szCs w:val="20"/>
        </w:rPr>
        <w:t>), la cual se enlaza con la “Orden de compra” (</w:t>
      </w:r>
      <w:r>
        <w:rPr>
          <w:rFonts w:cs="Arial" w:ascii="Arial" w:hAnsi="Arial"/>
          <w:b/>
          <w:sz w:val="20"/>
          <w:szCs w:val="20"/>
        </w:rPr>
        <w:t>Anexo 1</w:t>
      </w:r>
      <w:r>
        <w:rPr>
          <w:rFonts w:cs="Arial" w:ascii="Arial" w:hAnsi="Arial"/>
          <w:sz w:val="20"/>
          <w:szCs w:val="20"/>
        </w:rPr>
        <w:t>) y verifica que esté de acuerdo al pedido, adjunta la factura correspondiente a la compra.</w:t>
      </w:r>
    </w:p>
    <w:p>
      <w:pPr>
        <w:pStyle w:val="ListParagraph"/>
        <w:ind w:left="1276" w:hanging="567"/>
        <w:jc w:val="bot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ingresa en su registro “Trazabilidad de Compras Productos Críticos” (</w:t>
      </w:r>
      <w:r>
        <w:rPr>
          <w:rFonts w:cs="Arial" w:ascii="Arial" w:hAnsi="Arial"/>
          <w:b/>
          <w:sz w:val="20"/>
          <w:szCs w:val="20"/>
        </w:rPr>
        <w:t>CO/01-02</w:t>
      </w:r>
      <w:r>
        <w:rPr>
          <w:rFonts w:cs="Arial" w:ascii="Arial" w:hAnsi="Arial"/>
          <w:sz w:val="20"/>
          <w:szCs w:val="20"/>
        </w:rPr>
        <w:t>) la “Orden de Compra”  de los productos nacionales y/o el número de guía de carga de los productos importados con los códigos ingresados por Bodega de Micros y Bodega de Macros y Empaque.</w:t>
      </w:r>
    </w:p>
    <w:p>
      <w:pPr>
        <w:pStyle w:val="ListParagraph"/>
        <w:ind w:left="1276" w:hanging="0"/>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276" w:hanging="567"/>
        <w:jc w:val="both"/>
        <w:rPr>
          <w:rFonts w:ascii="Arial" w:hAnsi="Arial" w:cs="Arial"/>
          <w:sz w:val="20"/>
          <w:szCs w:val="20"/>
        </w:rPr>
      </w:pPr>
      <w:r>
        <w:rPr>
          <w:rFonts w:cs="Arial" w:ascii="Arial" w:hAnsi="Arial"/>
          <w:sz w:val="20"/>
          <w:szCs w:val="20"/>
        </w:rPr>
        <w:t>El Asistente de Adquisiciones entrega los documentos detallados en el punto 5.1.6, factura de compra y la “Nota de Recepción” al Asistente Contable 1, para su ingreso al sistema contable, genere la respectiva retención y archive donde corresponde cada documento en el departamento contable.</w:t>
      </w:r>
    </w:p>
    <w:p>
      <w:pPr>
        <w:pStyle w:val="Normal"/>
        <w:widowControl w:val="false"/>
        <w:spacing w:lineRule="auto" w:line="240" w:before="0" w:after="0"/>
        <w:jc w:val="both"/>
        <w:rPr>
          <w:rFonts w:ascii="Arial" w:hAnsi="Arial" w:cs="Arial"/>
          <w:sz w:val="20"/>
          <w:szCs w:val="20"/>
        </w:rPr>
      </w:pPr>
      <w:r>
        <w:rPr>
          <w:rFonts w:cs="Arial" w:ascii="Arial" w:hAnsi="Arial"/>
          <w:sz w:val="20"/>
          <w:szCs w:val="20"/>
        </w:rPr>
      </w:r>
    </w:p>
    <w:p>
      <w:pPr>
        <w:pStyle w:val="ListParagraph"/>
        <w:widowControl w:val="false"/>
        <w:spacing w:lineRule="auto" w:line="240" w:before="0" w:after="0"/>
        <w:ind w:left="1800" w:hanging="0"/>
        <w:jc w:val="both"/>
        <w:rPr>
          <w:rFonts w:ascii="Arial" w:hAnsi="Arial" w:cs="Arial"/>
          <w:sz w:val="20"/>
          <w:szCs w:val="20"/>
        </w:rPr>
      </w:pPr>
      <w:r>
        <w:rPr>
          <w:rFonts w:cs="Arial" w:ascii="Arial" w:hAnsi="Arial"/>
          <w:sz w:val="20"/>
          <w:szCs w:val="20"/>
        </w:rPr>
      </w:r>
    </w:p>
    <w:p>
      <w:pPr>
        <w:pStyle w:val="ListParagraph"/>
        <w:widowControl w:val="false"/>
        <w:numPr>
          <w:ilvl w:val="1"/>
          <w:numId w:val="4"/>
        </w:numPr>
        <w:spacing w:lineRule="auto" w:line="240" w:before="0" w:after="0"/>
        <w:ind w:left="426" w:hanging="426"/>
        <w:jc w:val="both"/>
        <w:rPr>
          <w:rFonts w:ascii="Arial" w:hAnsi="Arial" w:cs="Arial"/>
          <w:b/>
          <w:b/>
          <w:sz w:val="20"/>
          <w:szCs w:val="20"/>
        </w:rPr>
      </w:pPr>
      <w:r>
        <w:rPr>
          <w:rFonts w:cs="Arial" w:ascii="Arial" w:hAnsi="Arial"/>
          <w:b/>
          <w:sz w:val="20"/>
          <w:szCs w:val="20"/>
        </w:rPr>
        <w:t>IMPORTACION DE PRODUCTOS CRITICOS SOYA-MAÍZ-TRIGO.</w:t>
      </w:r>
    </w:p>
    <w:p>
      <w:pPr>
        <w:pStyle w:val="ListParagraph"/>
        <w:widowControl w:val="false"/>
        <w:spacing w:lineRule="auto" w:line="240" w:before="0" w:after="0"/>
        <w:ind w:left="426" w:hanging="0"/>
        <w:jc w:val="both"/>
        <w:rPr>
          <w:rFonts w:ascii="Arial" w:hAnsi="Arial" w:cs="Arial"/>
          <w:b/>
          <w:b/>
          <w:sz w:val="20"/>
          <w:szCs w:val="20"/>
        </w:rPr>
      </w:pPr>
      <w:r>
        <w:rPr>
          <w:rFonts w:cs="Arial" w:ascii="Arial" w:hAnsi="Arial"/>
          <w:b/>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Avipaz Cia. Ltda. como socio de AFABA (ASOCIACION DE FABRICANTES DE ALIMENTOS BALANCEADOS PARA ANIMALES), participa de una planificación anual de asignación de cupos para importar pasta de soya, trigo y maíz, siempre y cuando que las decisiones políticas del MINISTERIO DE AGRICULTURA Y GANADERIA DEL ECUADOR, permitan realizar la importación del producto.</w:t>
      </w:r>
    </w:p>
    <w:p>
      <w:pPr>
        <w:pStyle w:val="ListParagraph"/>
        <w:ind w:left="1276" w:hanging="0"/>
        <w:jc w:val="bot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La asignación de cupos para la importación la realiza AFABA, en reunión de Directorio acorde a nuestra producción anual, y remite por correo la distribución del cupo al Gerente General y al Gerente de Adquisiciones. Mensualmente el encargado del departamento de Importaciones de AFABA notifica al Gerente de Adquisiciones el próximo embarque a cargarse y la cotización.</w:t>
      </w:r>
    </w:p>
    <w:p>
      <w:pPr>
        <w:pStyle w:val="ListParagrap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genera una “Nota de Pedido” según formato del Ministerio de Agricultura Ganadería del Ecuador, que envía por correo el Encargado del Departamento de Importaciones de AFABA. Y recibe por parte del proveedor del exterior la proforma del precio y la cantidad negociada, Afaba realiza el trámite para obtener el permiso fitosanitario para certificar la calidad del producto que será adquirido, y este pueda ser embarcado en el país de origen, trasladado vía marítima a Ecuador.</w:t>
      </w:r>
    </w:p>
    <w:p>
      <w:pPr>
        <w:pStyle w:val="ListParagrap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Una vez que el producto arriba a Ecuador, queda en custodia del puerto de Guayaquil y/o Manta y bodega marítima contratado para el desembarque. El Encargado del Departamento de Importaciones de AFABA realiza el trámite de nacionalización de todo el embarque a través de Agrocalidad y Aduana del Ecuador. Terminado el trámite remite a cada socio la Liquidación de Aduana que le corresponde pagar y Certificados de análisis, a fin de que pueda retirar su producto del puerto.</w:t>
      </w:r>
    </w:p>
    <w:p>
      <w:pPr>
        <w:pStyle w:val="ListParagrap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envía al Director de Control de Calidad el Certificado de Análisis del producto que arribó al país, y notifica el día de llegada del mismo a los silos de  Avipaz Cia. Ltda. para que sea analizado y con su informe se libere, la totalidad del producto que corresponde a ese embarque.</w:t>
      </w:r>
    </w:p>
    <w:p>
      <w:pPr>
        <w:pStyle w:val="ListParagrap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El Gerente de Adquisiciones respalda la importación en una carpeta documental que posee todos los documentos habilitantes de la importación, y el archivo de las guías de remisión de la carga retirada del puerto.</w:t>
      </w:r>
    </w:p>
    <w:p>
      <w:pPr>
        <w:pStyle w:val="ListParagraph"/>
        <w:rPr>
          <w:rFonts w:ascii="Arial" w:hAnsi="Arial" w:cs="Arial"/>
          <w:sz w:val="20"/>
          <w:szCs w:val="20"/>
        </w:rPr>
      </w:pPr>
      <w:r>
        <w:rPr>
          <w:rFonts w:cs="Arial" w:ascii="Arial" w:hAnsi="Arial"/>
          <w:sz w:val="20"/>
          <w:szCs w:val="20"/>
        </w:rPr>
      </w:r>
    </w:p>
    <w:p>
      <w:pPr>
        <w:pStyle w:val="ListParagraph"/>
        <w:numPr>
          <w:ilvl w:val="2"/>
          <w:numId w:val="4"/>
        </w:numPr>
        <w:ind w:left="1276" w:hanging="567"/>
        <w:jc w:val="both"/>
        <w:rPr>
          <w:rFonts w:ascii="Arial" w:hAnsi="Arial" w:cs="Arial"/>
          <w:sz w:val="20"/>
          <w:szCs w:val="20"/>
        </w:rPr>
      </w:pPr>
      <w:r>
        <w:rPr>
          <w:rFonts w:cs="Arial" w:ascii="Arial" w:hAnsi="Arial"/>
          <w:sz w:val="20"/>
          <w:szCs w:val="20"/>
        </w:rPr>
        <w:t xml:space="preserve"> </w:t>
      </w:r>
      <w:r>
        <w:rPr>
          <w:rFonts w:cs="Arial" w:ascii="Arial" w:hAnsi="Arial"/>
          <w:sz w:val="20"/>
          <w:szCs w:val="20"/>
        </w:rPr>
        <w:t>El Gerente de Adquisiciones y/o Asistente de Adquisiciones ingresan las cantidades de producto que se reciben diariamente basándose en la información que detalla la guía de remisión, en un archivo de Excel llamado Liquidaciones Importaciones 2018, y después al sistema contable, para ir cargando las existencias de producto en la planta de producción de Avipaz Cia. Ltda.</w:t>
      </w:r>
    </w:p>
    <w:p>
      <w:pPr>
        <w:pStyle w:val="ListParagraph"/>
        <w:widowControl w:val="false"/>
        <w:spacing w:lineRule="auto" w:line="240" w:before="0" w:after="0"/>
        <w:ind w:left="426" w:hanging="0"/>
        <w:jc w:val="both"/>
        <w:rPr>
          <w:rFonts w:ascii="Arial" w:hAnsi="Arial" w:cs="Arial"/>
          <w:b/>
          <w:b/>
          <w:sz w:val="20"/>
          <w:szCs w:val="20"/>
        </w:rPr>
      </w:pPr>
      <w:r>
        <w:rPr>
          <w:rFonts w:cs="Arial" w:ascii="Arial" w:hAnsi="Arial"/>
          <w:b/>
          <w:sz w:val="20"/>
          <w:szCs w:val="20"/>
        </w:rPr>
      </w:r>
    </w:p>
    <w:p>
      <w:pPr>
        <w:pStyle w:val="ListParagraph"/>
        <w:widowControl w:val="false"/>
        <w:spacing w:lineRule="auto" w:line="240" w:before="0" w:after="0"/>
        <w:ind w:left="426" w:hanging="0"/>
        <w:jc w:val="both"/>
        <w:rPr>
          <w:rFonts w:ascii="Arial" w:hAnsi="Arial" w:cs="Arial"/>
          <w:b/>
          <w:b/>
          <w:sz w:val="20"/>
          <w:szCs w:val="20"/>
        </w:rPr>
      </w:pPr>
      <w:r>
        <w:rPr>
          <w:rFonts w:cs="Arial" w:ascii="Arial" w:hAnsi="Arial"/>
          <w:b/>
          <w:sz w:val="20"/>
          <w:szCs w:val="20"/>
        </w:rPr>
      </w:r>
    </w:p>
    <w:p>
      <w:pPr>
        <w:pStyle w:val="ListParagraph"/>
        <w:widowControl w:val="false"/>
        <w:spacing w:lineRule="auto" w:line="240" w:before="0" w:after="0"/>
        <w:ind w:left="426" w:hanging="0"/>
        <w:jc w:val="both"/>
        <w:rPr>
          <w:rFonts w:ascii="Arial" w:hAnsi="Arial" w:cs="Arial"/>
          <w:b/>
          <w:b/>
          <w:sz w:val="20"/>
          <w:szCs w:val="20"/>
        </w:rPr>
      </w:pPr>
      <w:r>
        <w:rPr>
          <w:rFonts w:cs="Arial" w:ascii="Arial" w:hAnsi="Arial"/>
          <w:b/>
          <w:sz w:val="20"/>
          <w:szCs w:val="20"/>
        </w:rPr>
      </w:r>
    </w:p>
    <w:p>
      <w:pPr>
        <w:pStyle w:val="ListParagraph"/>
        <w:widowControl w:val="false"/>
        <w:numPr>
          <w:ilvl w:val="1"/>
          <w:numId w:val="4"/>
        </w:numPr>
        <w:spacing w:lineRule="auto" w:line="240" w:before="0" w:after="0"/>
        <w:ind w:left="426" w:hanging="426"/>
        <w:jc w:val="both"/>
        <w:rPr>
          <w:rFonts w:ascii="Arial" w:hAnsi="Arial" w:cs="Arial"/>
          <w:b/>
          <w:b/>
          <w:sz w:val="20"/>
          <w:szCs w:val="20"/>
        </w:rPr>
      </w:pPr>
      <w:r>
        <w:rPr>
          <w:rFonts w:cs="Arial" w:ascii="Arial" w:hAnsi="Arial"/>
          <w:b/>
          <w:sz w:val="20"/>
          <w:szCs w:val="20"/>
        </w:rPr>
        <w:t xml:space="preserve">COMPRAS DE BIENES Y SERVICIOS </w:t>
      </w:r>
    </w:p>
    <w:p>
      <w:pPr>
        <w:pStyle w:val="Normal"/>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560" w:hanging="851"/>
        <w:jc w:val="both"/>
        <w:rPr>
          <w:rFonts w:ascii="Arial" w:hAnsi="Arial" w:cs="Arial"/>
          <w:sz w:val="20"/>
          <w:szCs w:val="20"/>
        </w:rPr>
      </w:pPr>
      <w:r>
        <w:rPr>
          <w:rFonts w:cs="Arial" w:ascii="Arial" w:hAnsi="Arial"/>
          <w:sz w:val="20"/>
          <w:szCs w:val="20"/>
        </w:rPr>
        <w:t>El responsable de cada departamento que necesite la adquisición de un bien o servicio, llena la “Requisición de Compra” (</w:t>
      </w:r>
      <w:r>
        <w:rPr>
          <w:rFonts w:cs="Arial" w:ascii="Arial" w:hAnsi="Arial"/>
          <w:b/>
          <w:sz w:val="20"/>
          <w:szCs w:val="20"/>
        </w:rPr>
        <w:t>CO/01-01</w:t>
      </w:r>
      <w:r>
        <w:rPr>
          <w:rFonts w:cs="Arial" w:ascii="Arial" w:hAnsi="Arial"/>
          <w:sz w:val="20"/>
          <w:szCs w:val="20"/>
        </w:rPr>
        <w:t>), detallando las características y especificaciones del producto o servicio solicitado, y lo envía al Gerente de Adquisiciones y/o Asistente de Adquisiciones vía mail o en físico.</w:t>
      </w:r>
    </w:p>
    <w:p>
      <w:pPr>
        <w:pStyle w:val="Normal"/>
        <w:ind w:left="1560" w:hanging="851"/>
        <w:jc w:val="both"/>
        <w:rPr>
          <w:rFonts w:ascii="Arial" w:hAnsi="Arial" w:cs="Arial"/>
          <w:sz w:val="20"/>
          <w:szCs w:val="20"/>
        </w:rPr>
      </w:pPr>
      <w:r>
        <w:rPr>
          <w:rFonts w:cs="Arial" w:ascii="Arial" w:hAnsi="Arial"/>
          <w:sz w:val="20"/>
          <w:szCs w:val="20"/>
        </w:rPr>
      </w:r>
    </w:p>
    <w:p>
      <w:pPr>
        <w:pStyle w:val="ListParagraph"/>
        <w:widowControl w:val="false"/>
        <w:numPr>
          <w:ilvl w:val="2"/>
          <w:numId w:val="4"/>
        </w:numPr>
        <w:spacing w:lineRule="auto" w:line="240" w:before="0" w:after="0"/>
        <w:ind w:left="1560" w:hanging="851"/>
        <w:jc w:val="both"/>
        <w:rPr>
          <w:rFonts w:ascii="Arial" w:hAnsi="Arial" w:cs="Arial"/>
          <w:sz w:val="20"/>
          <w:szCs w:val="20"/>
        </w:rPr>
      </w:pPr>
      <w:r>
        <w:rPr>
          <w:rFonts w:cs="Arial" w:ascii="Arial" w:hAnsi="Arial"/>
          <w:sz w:val="20"/>
          <w:szCs w:val="20"/>
        </w:rPr>
        <w:t xml:space="preserve"> </w:t>
      </w:r>
      <w:r>
        <w:rPr>
          <w:rFonts w:cs="Arial" w:ascii="Arial" w:hAnsi="Arial"/>
          <w:sz w:val="20"/>
          <w:szCs w:val="20"/>
        </w:rPr>
        <w:t>El Gerente de Adquisiciones y/o Asistente de Adquisiciones  solicita a los proveedores cotizaciones, basándose en las especificaciones detalladas en la “Requisición de Compra” (</w:t>
      </w:r>
      <w:r>
        <w:rPr>
          <w:rFonts w:cs="Arial" w:ascii="Arial" w:hAnsi="Arial"/>
          <w:b/>
          <w:sz w:val="20"/>
          <w:szCs w:val="20"/>
        </w:rPr>
        <w:t>CO/01-01</w:t>
      </w:r>
      <w:r>
        <w:rPr>
          <w:rFonts w:cs="Arial" w:ascii="Arial" w:hAnsi="Arial"/>
          <w:sz w:val="20"/>
          <w:szCs w:val="20"/>
        </w:rPr>
        <w:t xml:space="preserve">) y enviando la misma vía correo electrónico. Se solicita al proveedor que detalle, disponibilidad del bien o servicio, forma de entrega o cumplimiento, tiempo de entrega o ejecución, forma de pago, y otras condiciones comerciales vía  mail. </w:t>
      </w:r>
    </w:p>
    <w:p>
      <w:pPr>
        <w:pStyle w:val="Normal"/>
        <w:widowControl w:val="false"/>
        <w:spacing w:lineRule="auto" w:line="240" w:before="0" w:after="0"/>
        <w:jc w:val="both"/>
        <w:rPr>
          <w:rFonts w:ascii="Arial" w:hAnsi="Arial" w:cs="Arial"/>
          <w:sz w:val="20"/>
          <w:szCs w:val="20"/>
        </w:rPr>
      </w:pPr>
      <w:r>
        <w:rPr>
          <w:rFonts w:cs="Arial" w:ascii="Arial" w:hAnsi="Arial"/>
          <w:sz w:val="20"/>
          <w:szCs w:val="20"/>
        </w:rPr>
      </w:r>
    </w:p>
    <w:p>
      <w:pPr>
        <w:pStyle w:val="ListParagraph"/>
        <w:widowControl w:val="false"/>
        <w:spacing w:lineRule="auto" w:line="240" w:before="0" w:after="0"/>
        <w:ind w:left="1560" w:hanging="144"/>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Una vez seleccionada la mejor opción se comunica a Gerencia General para aprobación o negación. </w:t>
      </w:r>
    </w:p>
    <w:p>
      <w:pPr>
        <w:pStyle w:val="ListParagraph"/>
        <w:widowControl w:val="false"/>
        <w:spacing w:lineRule="auto" w:line="240" w:before="0" w:after="0"/>
        <w:ind w:left="1560" w:hanging="144"/>
        <w:jc w:val="both"/>
        <w:rPr>
          <w:rFonts w:ascii="Arial" w:hAnsi="Arial" w:cs="Arial"/>
          <w:sz w:val="20"/>
          <w:szCs w:val="20"/>
        </w:rPr>
      </w:pPr>
      <w:r>
        <w:rPr>
          <w:rFonts w:cs="Arial" w:ascii="Arial" w:hAnsi="Arial"/>
          <w:sz w:val="20"/>
          <w:szCs w:val="20"/>
        </w:rPr>
        <w:t xml:space="preserve">   </w:t>
      </w:r>
      <w:r>
        <w:rPr>
          <w:rFonts w:cs="Arial" w:ascii="Arial" w:hAnsi="Arial"/>
          <w:sz w:val="20"/>
          <w:szCs w:val="20"/>
        </w:rPr>
        <w:t>Se comunica al departamento solicitante su aprobación o negación al pedido.</w:t>
      </w:r>
    </w:p>
    <w:p>
      <w:pPr>
        <w:pStyle w:val="Normal"/>
        <w:widowControl w:val="false"/>
        <w:spacing w:lineRule="auto" w:line="240" w:before="0" w:after="0"/>
        <w:ind w:left="1560" w:hanging="851"/>
        <w:jc w:val="both"/>
        <w:rPr>
          <w:rFonts w:ascii="Arial" w:hAnsi="Arial" w:cs="Arial"/>
          <w:sz w:val="20"/>
          <w:szCs w:val="20"/>
        </w:rPr>
      </w:pPr>
      <w:r>
        <w:rPr>
          <w:rFonts w:cs="Arial" w:ascii="Arial" w:hAnsi="Arial"/>
          <w:sz w:val="20"/>
          <w:szCs w:val="20"/>
        </w:rPr>
        <w:t xml:space="preserve"> </w:t>
      </w:r>
    </w:p>
    <w:p>
      <w:pPr>
        <w:pStyle w:val="ListParagraph"/>
        <w:widowControl w:val="false"/>
        <w:numPr>
          <w:ilvl w:val="2"/>
          <w:numId w:val="4"/>
        </w:numPr>
        <w:spacing w:lineRule="auto" w:line="240" w:before="0" w:after="0"/>
        <w:ind w:left="1560" w:hanging="851"/>
        <w:jc w:val="both"/>
        <w:rPr>
          <w:rFonts w:ascii="Arial" w:hAnsi="Arial" w:cs="Arial"/>
          <w:sz w:val="20"/>
          <w:szCs w:val="20"/>
        </w:rPr>
      </w:pPr>
      <w:r>
        <w:rPr>
          <w:rFonts w:cs="Arial" w:ascii="Arial" w:hAnsi="Arial"/>
          <w:sz w:val="20"/>
          <w:szCs w:val="20"/>
        </w:rPr>
        <w:t xml:space="preserve"> </w:t>
      </w:r>
      <w:r>
        <w:rPr>
          <w:rFonts w:cs="Arial" w:ascii="Arial" w:hAnsi="Arial"/>
          <w:sz w:val="20"/>
          <w:szCs w:val="20"/>
        </w:rPr>
        <w:t>Al llegar el bien o servicio solicitado el departamento solicitante   verifica que el producto o servicio cumpla con las características acordadas.</w:t>
      </w:r>
    </w:p>
    <w:p>
      <w:pPr>
        <w:pStyle w:val="Normal"/>
        <w:ind w:left="1560" w:hanging="0"/>
        <w:jc w:val="both"/>
        <w:rPr>
          <w:rFonts w:ascii="Arial" w:hAnsi="Arial" w:cs="Arial"/>
          <w:b/>
          <w:b/>
          <w:sz w:val="20"/>
          <w:szCs w:val="20"/>
        </w:rPr>
      </w:pPr>
      <w:r>
        <w:rPr>
          <w:rFonts w:cs="Arial" w:ascii="Arial" w:hAnsi="Arial"/>
          <w:b/>
          <w:sz w:val="20"/>
          <w:szCs w:val="20"/>
        </w:rPr>
      </w:r>
    </w:p>
    <w:p>
      <w:pPr>
        <w:pStyle w:val="Normal"/>
        <w:ind w:left="1560" w:hanging="0"/>
        <w:jc w:val="both"/>
        <w:rPr>
          <w:rFonts w:ascii="Arial" w:hAnsi="Arial" w:cs="Arial"/>
          <w:sz w:val="20"/>
          <w:szCs w:val="20"/>
        </w:rPr>
      </w:pPr>
      <w:r>
        <w:rPr>
          <w:rFonts w:cs="Arial" w:ascii="Arial" w:hAnsi="Arial"/>
          <w:b/>
          <w:sz w:val="20"/>
          <w:szCs w:val="20"/>
        </w:rPr>
        <w:t>NOTA:</w:t>
      </w:r>
      <w:r>
        <w:rPr>
          <w:rFonts w:cs="Arial" w:ascii="Arial" w:hAnsi="Arial"/>
          <w:sz w:val="20"/>
          <w:szCs w:val="20"/>
        </w:rPr>
        <w:t xml:space="preserve"> De no cumplir se informa al Gerente de Adquisiciones de forma verbal y por correo, para que se comunique con el proveedor y resuelva.</w:t>
      </w:r>
    </w:p>
    <w:p>
      <w:pPr>
        <w:pStyle w:val="ListParagraph"/>
        <w:widowControl w:val="false"/>
        <w:numPr>
          <w:ilvl w:val="2"/>
          <w:numId w:val="4"/>
        </w:numPr>
        <w:spacing w:lineRule="auto" w:line="240" w:before="0" w:after="0"/>
        <w:ind w:left="1560" w:hanging="851"/>
        <w:jc w:val="both"/>
        <w:rPr>
          <w:rFonts w:ascii="Arial" w:hAnsi="Arial" w:cs="Arial"/>
          <w:sz w:val="20"/>
          <w:szCs w:val="20"/>
        </w:rPr>
      </w:pPr>
      <w:r>
        <w:rPr>
          <w:rFonts w:cs="Arial" w:ascii="Arial" w:hAnsi="Arial"/>
          <w:sz w:val="20"/>
          <w:szCs w:val="20"/>
        </w:rPr>
        <w:t>Los bienes o servicios recibidos deben soportarse documentalmente con la firma del responsable del departamento solicitante en la factura comercial entregada por el proveedor. La factura comercial es entregada al Asistente Contable 1 para el respectivo</w:t>
      </w:r>
      <w:r>
        <w:rPr>
          <w:rFonts w:cs="Arial" w:ascii="Arial" w:hAnsi="Arial"/>
          <w:color w:val="FF0000"/>
          <w:sz w:val="20"/>
          <w:szCs w:val="20"/>
        </w:rPr>
        <w:t xml:space="preserve"> </w:t>
      </w:r>
      <w:r>
        <w:rPr>
          <w:rFonts w:cs="Arial" w:ascii="Arial" w:hAnsi="Arial"/>
          <w:sz w:val="20"/>
          <w:szCs w:val="20"/>
        </w:rPr>
        <w:t>registro y archivo.</w:t>
      </w:r>
    </w:p>
    <w:p>
      <w:pPr>
        <w:pStyle w:val="Normal"/>
        <w:rPr>
          <w:rFonts w:ascii="Arial" w:hAnsi="Arial" w:cs="Arial"/>
          <w:b/>
          <w:b/>
          <w:sz w:val="20"/>
          <w:szCs w:val="20"/>
        </w:rPr>
      </w:pPr>
      <w:r>
        <w:rPr>
          <w:rFonts w:cs="Arial" w:ascii="Arial" w:hAnsi="Arial"/>
          <w:b/>
          <w:sz w:val="20"/>
          <w:szCs w:val="20"/>
        </w:rPr>
      </w:r>
    </w:p>
    <w:p>
      <w:pPr>
        <w:pStyle w:val="ListParagraph"/>
        <w:numPr>
          <w:ilvl w:val="0"/>
          <w:numId w:val="1"/>
        </w:numPr>
        <w:rPr>
          <w:rFonts w:ascii="Arial" w:hAnsi="Arial" w:cs="Arial"/>
          <w:b/>
          <w:b/>
          <w:sz w:val="20"/>
          <w:szCs w:val="20"/>
        </w:rPr>
      </w:pPr>
      <w:r>
        <w:rPr>
          <w:rFonts w:cs="Arial" w:ascii="Arial" w:hAnsi="Arial"/>
          <w:b/>
          <w:sz w:val="20"/>
          <w:szCs w:val="20"/>
        </w:rPr>
        <w:t>FORMULARIOS Y REGISTRO</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6"/>
        </w:numPr>
        <w:rPr>
          <w:rFonts w:ascii="Arial" w:hAnsi="Arial" w:cs="Arial"/>
          <w:sz w:val="20"/>
          <w:szCs w:val="20"/>
        </w:rPr>
      </w:pPr>
      <w:r>
        <w:rPr>
          <w:rFonts w:cs="Arial" w:ascii="Arial" w:hAnsi="Arial"/>
          <w:sz w:val="20"/>
          <w:szCs w:val="20"/>
        </w:rPr>
        <w:t>CO/01-01 Requisición de Compra</w:t>
      </w:r>
    </w:p>
    <w:p>
      <w:pPr>
        <w:pStyle w:val="ListParagraph"/>
        <w:numPr>
          <w:ilvl w:val="0"/>
          <w:numId w:val="6"/>
        </w:numPr>
        <w:rPr>
          <w:rFonts w:ascii="Arial" w:hAnsi="Arial" w:cs="Arial"/>
          <w:sz w:val="20"/>
          <w:szCs w:val="20"/>
        </w:rPr>
      </w:pPr>
      <w:r>
        <w:rPr>
          <w:rFonts w:cs="Arial" w:ascii="Arial" w:hAnsi="Arial"/>
          <w:sz w:val="20"/>
          <w:szCs w:val="20"/>
        </w:rPr>
        <w:t>CO/01-02 Trazabilidad de Compras de Productos Críticos</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1"/>
        </w:numPr>
        <w:rPr>
          <w:rFonts w:ascii="Arial" w:hAnsi="Arial" w:cs="Arial"/>
          <w:b/>
          <w:b/>
          <w:sz w:val="20"/>
          <w:szCs w:val="20"/>
        </w:rPr>
      </w:pPr>
      <w:r>
        <w:rPr>
          <w:rFonts w:cs="Arial" w:ascii="Arial" w:hAnsi="Arial"/>
          <w:b/>
          <w:sz w:val="20"/>
          <w:szCs w:val="20"/>
        </w:rPr>
        <w:t>REFERENCIAS</w:t>
      </w:r>
    </w:p>
    <w:p>
      <w:pPr>
        <w:pStyle w:val="Normal"/>
        <w:ind w:firstLine="360"/>
        <w:rPr>
          <w:rFonts w:ascii="Arial" w:hAnsi="Arial" w:cs="Arial"/>
          <w:sz w:val="20"/>
          <w:szCs w:val="20"/>
        </w:rPr>
      </w:pPr>
      <w:r>
        <w:rPr>
          <w:rFonts w:cs="Arial" w:ascii="Arial" w:hAnsi="Arial"/>
          <w:sz w:val="20"/>
          <w:szCs w:val="20"/>
        </w:rPr>
        <w:t>Agrocalidad 066</w:t>
      </w:r>
    </w:p>
    <w:p>
      <w:pPr>
        <w:pStyle w:val="ListParagraph"/>
        <w:numPr>
          <w:ilvl w:val="0"/>
          <w:numId w:val="1"/>
        </w:numPr>
        <w:rPr>
          <w:rFonts w:ascii="Arial" w:hAnsi="Arial" w:cs="Arial"/>
          <w:b/>
          <w:b/>
          <w:sz w:val="20"/>
          <w:szCs w:val="20"/>
        </w:rPr>
      </w:pPr>
      <w:r>
        <w:rPr>
          <w:rFonts w:cs="Arial" w:ascii="Arial" w:hAnsi="Arial"/>
          <w:b/>
          <w:sz w:val="20"/>
          <w:szCs w:val="20"/>
        </w:rPr>
        <w:t>ANEXOS</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7"/>
        </w:numPr>
        <w:rPr>
          <w:rFonts w:ascii="Arial" w:hAnsi="Arial" w:cs="Arial"/>
          <w:sz w:val="20"/>
          <w:szCs w:val="20"/>
        </w:rPr>
      </w:pPr>
      <w:r>
        <w:rPr>
          <w:rFonts w:cs="Arial" w:ascii="Arial" w:hAnsi="Arial"/>
          <w:b/>
          <w:sz w:val="20"/>
          <w:szCs w:val="20"/>
        </w:rPr>
        <w:t>ANEXO 1</w:t>
      </w:r>
      <w:r>
        <w:rPr>
          <w:rFonts w:cs="Arial" w:ascii="Arial" w:hAnsi="Arial"/>
          <w:sz w:val="20"/>
          <w:szCs w:val="20"/>
        </w:rPr>
        <w:t xml:space="preserve"> Orden d</w:t>
      </w:r>
      <w:bookmarkStart w:id="0" w:name="_GoBack"/>
      <w:bookmarkEnd w:id="0"/>
      <w:r>
        <w:rPr>
          <w:rFonts w:cs="Arial" w:ascii="Arial" w:hAnsi="Arial"/>
          <w:sz w:val="20"/>
          <w:szCs w:val="20"/>
        </w:rPr>
        <w:t xml:space="preserve">e Compra </w:t>
      </w:r>
    </w:p>
    <w:p>
      <w:pPr>
        <w:pStyle w:val="ListParagraph"/>
        <w:numPr>
          <w:ilvl w:val="0"/>
          <w:numId w:val="7"/>
        </w:numPr>
        <w:rPr>
          <w:rFonts w:ascii="Arial" w:hAnsi="Arial" w:cs="Arial"/>
          <w:sz w:val="20"/>
          <w:szCs w:val="20"/>
        </w:rPr>
      </w:pPr>
      <w:r>
        <w:rPr>
          <w:rFonts w:cs="Arial" w:ascii="Arial" w:hAnsi="Arial"/>
          <w:b/>
          <w:sz w:val="20"/>
          <w:szCs w:val="20"/>
        </w:rPr>
        <w:t>ANEXO 2</w:t>
      </w:r>
      <w:r>
        <w:rPr>
          <w:rFonts w:cs="Arial" w:ascii="Arial" w:hAnsi="Arial"/>
          <w:sz w:val="20"/>
          <w:szCs w:val="20"/>
        </w:rPr>
        <w:t xml:space="preserve"> Nota de Recepción</w:t>
      </w:r>
    </w:p>
    <w:p>
      <w:pPr>
        <w:pStyle w:val="ListParagraph"/>
        <w:ind w:left="1080" w:hanging="0"/>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b/>
          <w:b/>
          <w:sz w:val="20"/>
          <w:szCs w:val="20"/>
        </w:rPr>
      </w:pPr>
      <w:r>
        <w:rPr>
          <w:rFonts w:cs="Arial" w:ascii="Arial" w:hAnsi="Arial"/>
          <w:b/>
          <w:sz w:val="20"/>
          <w:szCs w:val="20"/>
        </w:rPr>
        <w:t>LISTA DE DISTRIBUCION.</w:t>
      </w:r>
    </w:p>
    <w:p>
      <w:pPr>
        <w:pStyle w:val="ListParagraph"/>
        <w:ind w:left="360" w:hanging="0"/>
        <w:rPr>
          <w:rFonts w:ascii="Arial" w:hAnsi="Arial" w:cs="Arial"/>
          <w:b/>
          <w:b/>
          <w:sz w:val="20"/>
          <w:szCs w:val="20"/>
        </w:rPr>
      </w:pPr>
      <w:r>
        <w:rPr>
          <w:rFonts w:cs="Arial" w:ascii="Arial" w:hAnsi="Arial"/>
          <w:b/>
          <w:sz w:val="20"/>
          <w:szCs w:val="20"/>
        </w:rPr>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Gerencia General </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Nutrición </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Control de Calidad </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Adquisiciones</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Servicio al Cliente </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Bodega de Producto terminado</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Bodegas de Macros y Envases</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Bodega de Micros</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Producción</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 xml:space="preserve">Seguridad Industrial  </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Talento Humano</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Mantenimiento</w:t>
      </w:r>
    </w:p>
    <w:p>
      <w:pPr>
        <w:pStyle w:val="ListParagraph"/>
        <w:numPr>
          <w:ilvl w:val="0"/>
          <w:numId w:val="8"/>
        </w:numPr>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t>Gerencia Comercial</w:t>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1116"/>
        <w:gridCol w:w="1130"/>
        <w:gridCol w:w="2898"/>
        <w:gridCol w:w="2363"/>
        <w:gridCol w:w="1321"/>
      </w:tblGrid>
      <w:tr>
        <w:trPr/>
        <w:tc>
          <w:tcPr>
            <w:tcW w:w="1116"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VERSION</w:t>
            </w:r>
          </w:p>
        </w:tc>
        <w:tc>
          <w:tcPr>
            <w:tcW w:w="1130"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ITEM DEL CAMBIO</w:t>
            </w:r>
          </w:p>
        </w:tc>
        <w:tc>
          <w:tcPr>
            <w:tcW w:w="2898"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CAMBIO REALIZADO</w:t>
            </w:r>
          </w:p>
        </w:tc>
        <w:tc>
          <w:tcPr>
            <w:tcW w:w="2363"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MOTIVO DEL CAMBIO</w:t>
            </w:r>
          </w:p>
        </w:tc>
        <w:tc>
          <w:tcPr>
            <w:tcW w:w="1321"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FECHA DEL CAMBIO</w:t>
            </w:r>
          </w:p>
        </w:tc>
      </w:tr>
      <w:tr>
        <w:trPr/>
        <w:tc>
          <w:tcPr>
            <w:tcW w:w="1116" w:type="dxa"/>
            <w:vMerge w:val="restart"/>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01</w:t>
            </w:r>
          </w:p>
        </w:tc>
        <w:tc>
          <w:tcPr>
            <w:tcW w:w="1130"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4.</w:t>
            </w:r>
          </w:p>
        </w:tc>
        <w:tc>
          <w:tcPr>
            <w:tcW w:w="2898"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Se agrupo en Insumos Macronutrientes e Insumos Micronutrientes, para que abarque todos los ingredientes de la dieta.</w:t>
            </w:r>
          </w:p>
        </w:tc>
        <w:tc>
          <w:tcPr>
            <w:tcW w:w="2363"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No, se especificaba,  todos los ingredientes de las dietas.</w:t>
            </w:r>
          </w:p>
        </w:tc>
        <w:tc>
          <w:tcPr>
            <w:tcW w:w="1321" w:type="dxa"/>
            <w:vMerge w:val="restart"/>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16/06/2018</w:t>
            </w:r>
          </w:p>
        </w:tc>
      </w:tr>
      <w:tr>
        <w:trPr/>
        <w:tc>
          <w:tcPr>
            <w:tcW w:w="1116"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c>
          <w:tcPr>
            <w:tcW w:w="1130"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5.1.1.</w:t>
            </w:r>
          </w:p>
        </w:tc>
        <w:tc>
          <w:tcPr>
            <w:tcW w:w="2898"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Se eliminó la frecuencia con la que se recibían la Requisición de Compra y se incluyó que se receptara mediante mail o físico el documento en mención, </w:t>
            </w:r>
          </w:p>
        </w:tc>
        <w:tc>
          <w:tcPr>
            <w:tcW w:w="2363"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Para que cada departamento, entregue su requisición de compra, cuando surge la necesidad.</w:t>
            </w:r>
          </w:p>
        </w:tc>
        <w:tc>
          <w:tcPr>
            <w:tcW w:w="1321"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r>
      <w:tr>
        <w:trPr/>
        <w:tc>
          <w:tcPr>
            <w:tcW w:w="1116"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c>
          <w:tcPr>
            <w:tcW w:w="1130"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5.1.2.</w:t>
            </w:r>
          </w:p>
        </w:tc>
        <w:tc>
          <w:tcPr>
            <w:tcW w:w="2898"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Se eliminó la comparación de stocks de las bodegas.</w:t>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Se incluye el análisis de compra,  por parte del Gerente de Adquisiciones.</w:t>
            </w:r>
          </w:p>
        </w:tc>
        <w:tc>
          <w:tcPr>
            <w:tcW w:w="2363"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Los responsables de Bodegas, son ahora responsables de sus stocks y de pedir a tiempo sus requisiciones.</w:t>
            </w:r>
          </w:p>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El análisis se realizará para un mejor manejo, de la compra.</w:t>
            </w:r>
          </w:p>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c>
          <w:tcPr>
            <w:tcW w:w="1321"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r>
      <w:tr>
        <w:trPr/>
        <w:tc>
          <w:tcPr>
            <w:tcW w:w="1116"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c>
          <w:tcPr>
            <w:tcW w:w="1130"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5.1.3.</w:t>
            </w:r>
          </w:p>
        </w:tc>
        <w:tc>
          <w:tcPr>
            <w:tcW w:w="2898"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Se amplía la explicación de este punto. </w:t>
            </w:r>
          </w:p>
        </w:tc>
        <w:tc>
          <w:tcPr>
            <w:tcW w:w="2363"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Se detalla el accionar del asistente de adquisiciones.</w:t>
            </w:r>
          </w:p>
        </w:tc>
        <w:tc>
          <w:tcPr>
            <w:tcW w:w="1321" w:type="dxa"/>
            <w:vMerge w:val="continue"/>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lang w:val="es-ES"/>
              </w:rPr>
            </w:pPr>
            <w:r>
              <w:rPr>
                <w:rFonts w:cs="Arial" w:ascii="Arial" w:hAnsi="Arial"/>
                <w:sz w:val="20"/>
                <w:szCs w:val="20"/>
                <w:lang w:val="es-ES"/>
              </w:rPr>
            </w:r>
          </w:p>
        </w:tc>
      </w:tr>
    </w:tbl>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tabs>
          <w:tab w:val="left" w:pos="1440" w:leader="none"/>
        </w:tabs>
        <w:overflowPunct w:val="true"/>
        <w:spacing w:lineRule="auto" w:line="240" w:before="0" w:after="0"/>
        <w:jc w:val="both"/>
        <w:textAlignment w:val="baseline"/>
        <w:rPr>
          <w:rFonts w:ascii="Arial" w:hAnsi="Arial" w:cs="Arial"/>
          <w:sz w:val="20"/>
          <w:szCs w:val="20"/>
        </w:rPr>
      </w:pPr>
      <w:r>
        <w:rPr>
          <w:rFonts w:cs="Arial" w:ascii="Arial" w:hAnsi="Arial"/>
          <w:sz w:val="20"/>
          <w:szCs w:val="20"/>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1116"/>
        <w:gridCol w:w="1207"/>
        <w:gridCol w:w="2505"/>
        <w:gridCol w:w="2599"/>
        <w:gridCol w:w="1401"/>
      </w:tblGrid>
      <w:tr>
        <w:trPr/>
        <w:tc>
          <w:tcPr>
            <w:tcW w:w="1116"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VERSION</w:t>
            </w:r>
          </w:p>
        </w:tc>
        <w:tc>
          <w:tcPr>
            <w:tcW w:w="1207"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ITEM DEL CAMBIO</w:t>
            </w:r>
          </w:p>
        </w:tc>
        <w:tc>
          <w:tcPr>
            <w:tcW w:w="2505"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CAMBIO REALIZADO</w:t>
            </w:r>
          </w:p>
        </w:tc>
        <w:tc>
          <w:tcPr>
            <w:tcW w:w="2599"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MOTIVO DEL CAMBIO</w:t>
            </w:r>
          </w:p>
        </w:tc>
        <w:tc>
          <w:tcPr>
            <w:tcW w:w="1401"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b/>
                <w:b/>
                <w:sz w:val="20"/>
                <w:szCs w:val="20"/>
              </w:rPr>
            </w:pPr>
            <w:r>
              <w:rPr>
                <w:rFonts w:cs="Arial" w:ascii="Arial" w:hAnsi="Arial"/>
                <w:b/>
                <w:sz w:val="20"/>
                <w:szCs w:val="20"/>
                <w:lang w:val="es-ES"/>
              </w:rPr>
              <w:t>FECHA DEL CAMBIO</w:t>
            </w:r>
          </w:p>
        </w:tc>
      </w:tr>
      <w:tr>
        <w:trPr/>
        <w:tc>
          <w:tcPr>
            <w:tcW w:w="1116" w:type="dxa"/>
            <w:vMerge w:val="restart"/>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02</w:t>
            </w:r>
          </w:p>
        </w:tc>
        <w:tc>
          <w:tcPr>
            <w:tcW w:w="1207"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1/2/4/5.2</w:t>
            </w:r>
          </w:p>
        </w:tc>
        <w:tc>
          <w:tcPr>
            <w:tcW w:w="2505"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Se incluye proceso  de importaciones </w:t>
            </w:r>
          </w:p>
        </w:tc>
        <w:tc>
          <w:tcPr>
            <w:tcW w:w="2599"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Para detallar actividad en compras al exterior</w:t>
            </w:r>
          </w:p>
        </w:tc>
        <w:tc>
          <w:tcPr>
            <w:tcW w:w="1401" w:type="dxa"/>
            <w:vMerge w:val="restart"/>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04/07/2018</w:t>
            </w:r>
          </w:p>
        </w:tc>
      </w:tr>
      <w:tr>
        <w:trPr/>
        <w:tc>
          <w:tcPr>
            <w:tcW w:w="1116"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c>
          <w:tcPr>
            <w:tcW w:w="1207"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5.1.1.</w:t>
            </w:r>
          </w:p>
        </w:tc>
        <w:tc>
          <w:tcPr>
            <w:tcW w:w="2505"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Se incluye a Gerente Adquisiciones para recepción de Requisición de compra </w:t>
            </w:r>
          </w:p>
        </w:tc>
        <w:tc>
          <w:tcPr>
            <w:tcW w:w="2599"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Para atención pertinente</w:t>
            </w:r>
          </w:p>
        </w:tc>
        <w:tc>
          <w:tcPr>
            <w:tcW w:w="1401"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r>
      <w:tr>
        <w:trPr/>
        <w:tc>
          <w:tcPr>
            <w:tcW w:w="1116"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c>
          <w:tcPr>
            <w:tcW w:w="1207"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5.1.2.</w:t>
            </w:r>
          </w:p>
        </w:tc>
        <w:tc>
          <w:tcPr>
            <w:tcW w:w="2505"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Se incluye a Asistente Adquisiciones para recepción de Requisición de compra </w:t>
            </w:r>
          </w:p>
        </w:tc>
        <w:tc>
          <w:tcPr>
            <w:tcW w:w="2599"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Para atención pertinente</w:t>
            </w:r>
          </w:p>
        </w:tc>
        <w:tc>
          <w:tcPr>
            <w:tcW w:w="1401"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r>
      <w:tr>
        <w:trPr/>
        <w:tc>
          <w:tcPr>
            <w:tcW w:w="1116"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c>
          <w:tcPr>
            <w:tcW w:w="1207"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5.3.2</w:t>
            </w:r>
          </w:p>
        </w:tc>
        <w:tc>
          <w:tcPr>
            <w:tcW w:w="2505"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Se elimina “Solicitud de Compra”</w:t>
            </w:r>
          </w:p>
        </w:tc>
        <w:tc>
          <w:tcPr>
            <w:tcW w:w="2599" w:type="dxa"/>
            <w:tcBorders/>
            <w:shd w:fill="auto" w:val="clear"/>
            <w:tcMar>
              <w:left w:w="108" w:type="dxa"/>
            </w:tcMar>
            <w:vAlign w:val="center"/>
          </w:tcPr>
          <w:p>
            <w:pPr>
              <w:pStyle w:val="Normal"/>
              <w:tabs>
                <w:tab w:val="left" w:pos="1440" w:leader="none"/>
              </w:tabs>
              <w:overflowPunct w:val="true"/>
              <w:spacing w:lineRule="auto" w:line="240" w:before="0" w:after="0"/>
              <w:textAlignment w:val="baseline"/>
              <w:rPr>
                <w:rFonts w:ascii="Arial" w:hAnsi="Arial" w:cs="Arial"/>
                <w:sz w:val="20"/>
                <w:szCs w:val="20"/>
              </w:rPr>
            </w:pPr>
            <w:r>
              <w:rPr>
                <w:rFonts w:cs="Arial" w:ascii="Arial" w:hAnsi="Arial"/>
                <w:sz w:val="20"/>
                <w:szCs w:val="20"/>
                <w:lang w:val="es-ES"/>
              </w:rPr>
              <w:t xml:space="preserve">Para Compra de Bienes o Servicios se enviará la misma Requisición de Compra del Solicitante. </w:t>
            </w:r>
          </w:p>
        </w:tc>
        <w:tc>
          <w:tcPr>
            <w:tcW w:w="1401" w:type="dxa"/>
            <w:vMerge w:val="continue"/>
            <w:tcBorders/>
            <w:shd w:fill="auto" w:val="clear"/>
            <w:tcMar>
              <w:left w:w="108" w:type="dxa"/>
            </w:tcMar>
            <w:vAlign w:val="center"/>
          </w:tcPr>
          <w:p>
            <w:pPr>
              <w:pStyle w:val="Normal"/>
              <w:spacing w:lineRule="auto" w:line="240" w:before="0" w:after="0"/>
              <w:rPr>
                <w:rFonts w:ascii="Arial" w:hAnsi="Arial" w:cs="Arial"/>
                <w:sz w:val="20"/>
                <w:szCs w:val="20"/>
                <w:lang w:val="es-ES"/>
              </w:rPr>
            </w:pPr>
            <w:r>
              <w:rPr>
                <w:rFonts w:cs="Arial" w:ascii="Arial" w:hAnsi="Arial"/>
                <w:sz w:val="20"/>
                <w:szCs w:val="20"/>
                <w:lang w:val="es-ES"/>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Anexo 1</w:t>
      </w:r>
    </w:p>
    <w:p>
      <w:pPr>
        <w:pStyle w:val="Normal"/>
        <w:ind w:left="360" w:hanging="0"/>
        <w:rPr>
          <w:rFonts w:ascii="Arial" w:hAnsi="Arial" w:cs="Arial"/>
          <w:sz w:val="20"/>
          <w:szCs w:val="20"/>
        </w:rPr>
      </w:pPr>
      <w:r>
        <w:rPr>
          <w:rFonts w:cs="Arial" w:ascii="Arial" w:hAnsi="Arial"/>
          <w:sz w:val="20"/>
          <w:szCs w:val="20"/>
        </w:rPr>
        <w:t xml:space="preserve">Orden de Compra </w:t>
      </w:r>
    </w:p>
    <w:p>
      <w:pPr>
        <w:pStyle w:val="Normal"/>
        <w:ind w:left="360" w:hanging="0"/>
        <w:rPr>
          <w:rFonts w:ascii="Arial" w:hAnsi="Arial" w:cs="Arial"/>
          <w:sz w:val="20"/>
          <w:szCs w:val="20"/>
        </w:rPr>
      </w:pPr>
      <w:r>
        <w:rPr/>
        <w:drawing>
          <wp:inline distT="0" distB="9525" distL="0" distR="9525">
            <wp:extent cx="5400675" cy="397192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400675" cy="3971925"/>
                    </a:xfrm>
                    <a:prstGeom prst="rect">
                      <a:avLst/>
                    </a:prstGeom>
                  </pic:spPr>
                </pic:pic>
              </a:graphicData>
            </a:graphic>
          </wp:inline>
        </w:drawing>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ind w:left="360" w:hanging="0"/>
        <w:rPr>
          <w:rFonts w:ascii="Arial" w:hAnsi="Arial" w:cs="Arial"/>
          <w:b/>
          <w:b/>
          <w:sz w:val="20"/>
          <w:szCs w:val="20"/>
        </w:rPr>
      </w:pPr>
      <w:r>
        <w:rPr>
          <w:rFonts w:cs="Arial" w:ascii="Arial" w:hAnsi="Arial"/>
          <w:b/>
          <w:sz w:val="20"/>
          <w:szCs w:val="20"/>
        </w:rPr>
        <w:t>Anexo 2</w:t>
      </w:r>
    </w:p>
    <w:p>
      <w:pPr>
        <w:pStyle w:val="Normal"/>
        <w:ind w:left="360" w:hanging="0"/>
        <w:rPr>
          <w:rFonts w:ascii="Arial" w:hAnsi="Arial" w:cs="Arial"/>
          <w:sz w:val="20"/>
          <w:szCs w:val="20"/>
        </w:rPr>
      </w:pPr>
      <w:r>
        <w:rPr>
          <w:rFonts w:cs="Arial" w:ascii="Arial" w:hAnsi="Arial"/>
          <w:sz w:val="20"/>
          <w:szCs w:val="20"/>
        </w:rPr>
        <w:t>Nota de Recepción</w:t>
      </w:r>
    </w:p>
    <w:p>
      <w:pPr>
        <w:pStyle w:val="Normal"/>
        <w:ind w:left="360" w:hanging="0"/>
        <w:rPr>
          <w:rFonts w:ascii="Arial" w:hAnsi="Arial" w:cs="Arial"/>
          <w:sz w:val="20"/>
          <w:szCs w:val="20"/>
        </w:rPr>
      </w:pPr>
      <w:r>
        <w:rPr/>
        <w:drawing>
          <wp:inline distT="0" distB="9525" distL="0" distR="0">
            <wp:extent cx="5467350" cy="399097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67350" cy="3990975"/>
                    </a:xfrm>
                    <a:prstGeom prst="rect">
                      <a:avLst/>
                    </a:prstGeom>
                  </pic:spPr>
                </pic:pic>
              </a:graphicData>
            </a:graphic>
          </wp:inline>
        </w:drawing>
      </w:r>
    </w:p>
    <w:p>
      <w:pPr>
        <w:pStyle w:val="Normal"/>
        <w:ind w:left="360" w:hanging="0"/>
        <w:rPr>
          <w:rFonts w:ascii="Arial" w:hAnsi="Arial" w:cs="Arial"/>
          <w:b/>
          <w:b/>
          <w:sz w:val="20"/>
          <w:szCs w:val="20"/>
        </w:rPr>
      </w:pPr>
      <w:r>
        <w:rPr>
          <w:rFonts w:cs="Arial" w:ascii="Arial" w:hAnsi="Arial"/>
          <w:b/>
          <w:sz w:val="20"/>
          <w:szCs w:val="20"/>
        </w:rPr>
      </w:r>
    </w:p>
    <w:p>
      <w:pPr>
        <w:pStyle w:val="Normal"/>
        <w:spacing w:before="0" w:after="160"/>
        <w:ind w:hanging="0"/>
        <w:rPr/>
      </w:pPr>
      <w:r>
        <w:rPr/>
      </w:r>
    </w:p>
    <w:tbl>
      <w:tblPr>
        <w:tblW w:type="auto" w:w="0"/>
        <w:tblLook w:firstColumn="1" w:firstRow="1" w:lastColumn="0" w:lastRow="0" w:noHBand="0" w:noVBand="1" w:val="04A0"/>
      </w:tblPr>
      <w:tblGrid>
        <w:gridCol w:w="2209"/>
        <w:gridCol w:w="2209"/>
        <w:gridCol w:w="2209"/>
        <w:gridCol w:w="2209"/>
      </w:tblGrid>
      <w:tr>
        <w:tc>
          <w:tcPr>
            <w:tcW w:type="dxa" w:w="2209"/>
          </w:tcPr>
          <w:p>
            <w:r>
              <w:rPr>
                <w:sz w:val="14"/>
              </w:rPr>
              <w:t>Redactado por: Grimalda Pombosa</w:t>
            </w:r>
          </w:p>
        </w:tc>
        <w:tc>
          <w:tcPr>
            <w:tcW w:type="dxa" w:w="2209"/>
          </w:tcPr>
          <w:p>
            <w:r>
              <w:rPr>
                <w:sz w:val="14"/>
              </w:rPr>
              <w:t>Aprobado por: Julia Pazmiño</w:t>
            </w:r>
          </w:p>
        </w:tc>
        <w:tc>
          <w:tcPr>
            <w:tcW w:type="dxa" w:w="2209"/>
          </w:tcPr>
          <w:p>
            <w:r>
              <w:rPr>
                <w:sz w:val="14"/>
              </w:rPr>
              <w:t>Aprobado por: M Aguirre</w:t>
            </w:r>
          </w:p>
        </w:tc>
        <w:tc>
          <w:tcPr>
            <w:tcW w:type="dxa" w:w="2209"/>
          </w:tcPr>
          <w:p>
            <w:r>
              <w:rPr>
                <w:sz w:val="14"/>
              </w:rPr>
              <w:t>Aprobado por: Monica_Aguirre</w:t>
            </w:r>
          </w:p>
        </w:tc>
      </w:tr>
      <w:tr>
        <w:tc>
          <w:tcPr>
            <w:tcW w:type="dxa" w:w="2209"/>
          </w:tcPr>
          <w:p>
            <w:r>
              <w:rPr>
                <w:sz w:val="14"/>
              </w:rPr>
              <w:t>Fecha subido: 2018-09-14</w:t>
            </w:r>
          </w:p>
        </w:tc>
        <w:tc>
          <w:tcPr>
            <w:tcW w:type="dxa" w:w="2209"/>
          </w:tcPr>
          <w:p>
            <w:r>
              <w:rPr>
                <w:sz w:val="14"/>
              </w:rPr>
              <w:t>Fecha aprobado: 2018-09-14</w:t>
            </w:r>
          </w:p>
        </w:tc>
        <w:tc>
          <w:tcPr>
            <w:tcW w:type="dxa" w:w="2209"/>
          </w:tcPr>
          <w:p>
            <w:r>
              <w:rPr>
                <w:sz w:val="14"/>
              </w:rPr>
              <w:t>Fecha aprobado: 2018-09-17</w:t>
            </w:r>
          </w:p>
        </w:tc>
        <w:tc>
          <w:tcPr>
            <w:tcW w:type="dxa" w:w="2209"/>
          </w:tcPr>
          <w:p>
            <w:r>
              <w:rPr>
                <w:sz w:val="14"/>
              </w:rPr>
              <w:t>Fecha aprobado: 2018-09-18</w:t>
            </w:r>
          </w:p>
        </w:tc>
      </w:tr>
      <w:tr>
        <w:tc>
          <w:tcPr>
            <w:tcW w:type="dxa" w:w="2209"/>
          </w:tcPr>
          <w:p>
            <w:r>
              <w:rPr>
                <w:sz w:val="14"/>
              </w:rPr>
              <w:t>Version: 2.0</w:t>
            </w:r>
          </w:p>
        </w:tc>
        <w:tc>
          <w:tcPr>
            <w:tcW w:type="dxa" w:w="2209"/>
          </w:tcPr>
          <w:p>
            <w:r>
              <w:rPr>
                <w:sz w:val="14"/>
              </w:rPr>
              <w:drawing>
                <wp:inline xmlns:a="http://schemas.openxmlformats.org/drawingml/2006/main" xmlns:pic="http://schemas.openxmlformats.org/drawingml/2006/picture">
                  <wp:extent cx="200000" cy="200000"/>
                  <wp:docPr id="3" name="Picture 3"/>
                  <wp:cNvGraphicFramePr>
                    <a:graphicFrameLocks noChangeAspect="1"/>
                  </wp:cNvGraphicFramePr>
                  <a:graphic>
                    <a:graphicData uri="http://schemas.openxmlformats.org/drawingml/2006/picture">
                      <pic:pic>
                        <pic:nvPicPr>
                          <pic:cNvPr id="0" name="july.jpg"/>
                          <pic:cNvPicPr/>
                        </pic:nvPicPr>
                        <pic:blipFill>
                          <a:blip r:embed="rId12"/>
                          <a:stretch>
                            <a:fillRect/>
                          </a:stretch>
                        </pic:blipFill>
                        <pic:spPr>
                          <a:xfrm>
                            <a:off x="0" y="0"/>
                            <a:ext cx="200000" cy="200000"/>
                          </a:xfrm>
                          <a:prstGeom prst="rect"/>
                        </pic:spPr>
                      </pic:pic>
                    </a:graphicData>
                  </a:graphic>
                </wp:inline>
              </w:drawing>
            </w:r>
          </w:p>
        </w:tc>
        <w:tc>
          <w:tcPr>
            <w:tcW w:type="dxa" w:w="2209"/>
          </w:tcPr>
          <w:p>
            <w:r>
              <w:rPr>
                <w:sz w:val="14"/>
              </w:rPr>
              <w:drawing>
                <wp:inline xmlns:a="http://schemas.openxmlformats.org/drawingml/2006/main" xmlns:pic="http://schemas.openxmlformats.org/drawingml/2006/picture">
                  <wp:extent cx="200000" cy="200000"/>
                  <wp:docPr id="4" name="Picture 4"/>
                  <wp:cNvGraphicFramePr>
                    <a:graphicFrameLocks noChangeAspect="1"/>
                  </wp:cNvGraphicFramePr>
                  <a:graphic>
                    <a:graphicData uri="http://schemas.openxmlformats.org/drawingml/2006/picture">
                      <pic:pic>
                        <pic:nvPicPr>
                          <pic:cNvPr id="0" name="moni_S1DnpY5.jpg"/>
                          <pic:cNvPicPr/>
                        </pic:nvPicPr>
                        <pic:blipFill>
                          <a:blip r:embed="rId13"/>
                          <a:stretch>
                            <a:fillRect/>
                          </a:stretch>
                        </pic:blipFill>
                        <pic:spPr>
                          <a:xfrm>
                            <a:off x="0" y="0"/>
                            <a:ext cx="200000" cy="200000"/>
                          </a:xfrm>
                          <a:prstGeom prst="rect"/>
                        </pic:spPr>
                      </pic:pic>
                    </a:graphicData>
                  </a:graphic>
                </wp:inline>
              </w:drawing>
            </w:r>
          </w:p>
        </w:tc>
        <w:tc>
          <w:tcPr>
            <w:tcW w:type="dxa" w:w="2209"/>
          </w:tcPr>
          <w:p>
            <w:r>
              <w:rPr>
                <w:sz w:val="14"/>
              </w:rPr>
              <w:drawing>
                <wp:inline xmlns:a="http://schemas.openxmlformats.org/drawingml/2006/main" xmlns:pic="http://schemas.openxmlformats.org/drawingml/2006/picture">
                  <wp:extent cx="200000" cy="200000"/>
                  <wp:docPr id="5" name="Picture 5"/>
                  <wp:cNvGraphicFramePr>
                    <a:graphicFrameLocks noChangeAspect="1"/>
                  </wp:cNvGraphicFramePr>
                  <a:graphic>
                    <a:graphicData uri="http://schemas.openxmlformats.org/drawingml/2006/picture">
                      <pic:pic>
                        <pic:nvPicPr>
                          <pic:cNvPr id="0" name="moni_S1DnpY5.jpg"/>
                          <pic:cNvPicPr/>
                        </pic:nvPicPr>
                        <pic:blipFill>
                          <a:blip r:embed="rId13"/>
                          <a:stretch>
                            <a:fillRect/>
                          </a:stretch>
                        </pic:blipFill>
                        <pic:spPr>
                          <a:xfrm>
                            <a:off x="0" y="0"/>
                            <a:ext cx="200000" cy="200000"/>
                          </a:xfrm>
                          <a:prstGeom prst="rect"/>
                        </pic:spPr>
                      </pic:pic>
                    </a:graphicData>
                  </a:graphic>
                </wp:inline>
              </w:drawing>
            </w:r>
          </w:p>
        </w:tc>
      </w:tr>
    </w:tbl>
    <w:sectPr>
      <w:headerReference w:type="default" r:id="rId4"/>
      <w:headerReference w:type="first" r:id="rId5"/>
      <w:footerReference w:type="default" r:id="rId6"/>
      <w:footerReference w:type="first" r:id="rId7"/>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3090" w:leader="none"/>
      </w:tabs>
      <w:rPr/>
    </w:pPr>
    <w:r>
      <w:rPr/>
      <w:tab/>
    </w:r>
  </w:p>
  <w:tbl>
    <w:tblPr>
      <w:tblStyle w:val="Tablaconcuadrcula2"/>
      <w:tblW w:w="9357" w:type="dxa"/>
      <w:jc w:val="left"/>
      <w:tblInd w:w="-431" w:type="dxa"/>
      <w:tblCellMar>
        <w:top w:w="0" w:type="dxa"/>
        <w:left w:w="108" w:type="dxa"/>
        <w:bottom w:w="0" w:type="dxa"/>
        <w:right w:w="108" w:type="dxa"/>
      </w:tblCellMar>
      <w:tblLook w:val="04a0" w:noVBand="1" w:noHBand="0" w:lastColumn="0" w:firstColumn="1" w:lastRow="0" w:firstRow="1"/>
    </w:tblPr>
    <w:tblGrid>
      <w:gridCol w:w="2269"/>
      <w:gridCol w:w="2551"/>
      <w:gridCol w:w="2693"/>
      <w:gridCol w:w="1843"/>
    </w:tblGrid>
    <w:tr>
      <w:trPr/>
      <w:tc>
        <w:tcPr>
          <w:tcW w:w="2269"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 xml:space="preserve">ºRedactado por: J.P.            </w:t>
          </w:r>
        </w:p>
      </w:tc>
      <w:tc>
        <w:tcPr>
          <w:tcW w:w="2551"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Revisado por :M.A.</w:t>
          </w:r>
        </w:p>
      </w:tc>
      <w:tc>
        <w:tcPr>
          <w:tcW w:w="4536" w:type="dxa"/>
          <w:gridSpan w:val="2"/>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Aprobado por : F.P.</w:t>
          </w:r>
        </w:p>
      </w:tc>
    </w:tr>
    <w:tr>
      <w:trPr/>
      <w:tc>
        <w:tcPr>
          <w:tcW w:w="2269"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Fecha de redacción:04-07-2018</w:t>
          </w:r>
        </w:p>
      </w:tc>
      <w:tc>
        <w:tcPr>
          <w:tcW w:w="2551"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Fecha de revisión: 04-07-2018</w:t>
          </w:r>
        </w:p>
      </w:tc>
      <w:tc>
        <w:tcPr>
          <w:tcW w:w="4536" w:type="dxa"/>
          <w:gridSpan w:val="2"/>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Fecha de Aprobación : 04-07-2018</w:t>
          </w:r>
        </w:p>
      </w:tc>
    </w:tr>
    <w:tr>
      <w:trPr/>
      <w:tc>
        <w:tcPr>
          <w:tcW w:w="2269"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Versión original:02</w:t>
          </w:r>
        </w:p>
        <w:p>
          <w:pPr>
            <w:pStyle w:val="Normal"/>
            <w:widowControl w:val="false"/>
            <w:tabs>
              <w:tab w:val="center" w:pos="4252" w:leader="none"/>
              <w:tab w:val="right" w:pos="8504" w:leader="none"/>
            </w:tabs>
            <w:spacing w:lineRule="auto" w:line="240" w:before="0" w:after="0"/>
            <w:rPr>
              <w:rFonts w:ascii="Arial" w:hAnsi="Arial" w:eastAsia="Times New Roman" w:cs="Arial"/>
              <w:sz w:val="18"/>
              <w:szCs w:val="18"/>
              <w:lang w:val="en-US" w:eastAsia="es-ES"/>
            </w:rPr>
          </w:pPr>
          <w:r>
            <w:rPr>
              <w:rFonts w:eastAsia="Times New Roman" w:cs="Arial" w:ascii="Arial" w:hAnsi="Arial"/>
              <w:sz w:val="18"/>
              <w:szCs w:val="18"/>
              <w:lang w:val="en-US" w:eastAsia="es-ES"/>
            </w:rPr>
          </w:r>
        </w:p>
      </w:tc>
      <w:tc>
        <w:tcPr>
          <w:tcW w:w="2551"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Fecha Versión: 04-07-2018</w:t>
          </w:r>
        </w:p>
      </w:tc>
      <w:tc>
        <w:tcPr>
          <w:tcW w:w="2693"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Revisión Nª:02</w:t>
          </w:r>
        </w:p>
        <w:p>
          <w:pPr>
            <w:pStyle w:val="Normal"/>
            <w:widowControl w:val="false"/>
            <w:tabs>
              <w:tab w:val="center" w:pos="4252" w:leader="none"/>
              <w:tab w:val="right" w:pos="8504" w:leader="none"/>
            </w:tabs>
            <w:spacing w:lineRule="auto" w:line="240" w:before="0" w:after="0"/>
            <w:rPr>
              <w:rFonts w:ascii="Arial" w:hAnsi="Arial" w:eastAsia="Times New Roman" w:cs="Arial"/>
              <w:sz w:val="18"/>
              <w:szCs w:val="18"/>
              <w:lang w:val="en-US" w:eastAsia="es-ES"/>
            </w:rPr>
          </w:pPr>
          <w:r>
            <w:rPr>
              <w:rFonts w:eastAsia="Times New Roman" w:cs="Arial" w:ascii="Arial" w:hAnsi="Arial"/>
              <w:sz w:val="18"/>
              <w:szCs w:val="18"/>
              <w:lang w:val="en-US" w:eastAsia="es-ES"/>
            </w:rPr>
          </w:r>
        </w:p>
      </w:tc>
      <w:tc>
        <w:tcPr>
          <w:tcW w:w="1843" w:type="dxa"/>
          <w:tcBorders/>
          <w:shd w:fill="auto" w:val="clear"/>
          <w:tcMar>
            <w:left w:w="108" w:type="dxa"/>
          </w:tcMar>
        </w:tcPr>
        <w:p>
          <w:pPr>
            <w:pStyle w:val="Normal"/>
            <w:widowControl w:val="false"/>
            <w:tabs>
              <w:tab w:val="center" w:pos="4252" w:leader="none"/>
              <w:tab w:val="right" w:pos="8504" w:leader="none"/>
            </w:tabs>
            <w:spacing w:lineRule="auto" w:line="240" w:before="0" w:after="0"/>
            <w:rPr>
              <w:rFonts w:ascii="Arial" w:hAnsi="Arial" w:cs="Arial"/>
              <w:sz w:val="18"/>
              <w:szCs w:val="18"/>
              <w:lang w:val="en-US" w:eastAsia="es-ES"/>
            </w:rPr>
          </w:pPr>
          <w:r>
            <w:rPr>
              <w:rFonts w:eastAsia="Times New Roman" w:cs="Arial" w:ascii="Arial" w:hAnsi="Arial"/>
              <w:sz w:val="18"/>
              <w:szCs w:val="18"/>
              <w:lang w:val="en-US" w:eastAsia="es-ES"/>
            </w:rPr>
            <w:t>Fecha Revisión: 04-07-2018</w:t>
          </w:r>
        </w:p>
        <w:p>
          <w:pPr>
            <w:pStyle w:val="Normal"/>
            <w:widowControl w:val="false"/>
            <w:tabs>
              <w:tab w:val="center" w:pos="4252" w:leader="none"/>
              <w:tab w:val="right" w:pos="8504" w:leader="none"/>
            </w:tabs>
            <w:spacing w:lineRule="auto" w:line="240" w:before="0" w:after="0"/>
            <w:rPr>
              <w:rFonts w:ascii="Arial" w:hAnsi="Arial" w:eastAsia="Times New Roman" w:cs="Arial"/>
              <w:sz w:val="18"/>
              <w:szCs w:val="18"/>
              <w:lang w:val="en-US" w:eastAsia="es-ES"/>
            </w:rPr>
          </w:pPr>
          <w:r>
            <w:rPr>
              <w:rFonts w:eastAsia="Times New Roman" w:cs="Arial" w:ascii="Arial" w:hAnsi="Arial"/>
              <w:sz w:val="18"/>
              <w:szCs w:val="18"/>
              <w:lang w:val="en-US" w:eastAsia="es-ES"/>
            </w:rPr>
          </w:r>
        </w:p>
      </w:tc>
    </w:tr>
  </w:tbl>
  <w:p>
    <w:pPr>
      <w:pStyle w:val="Piedepgina"/>
      <w:tabs>
        <w:tab w:val="left" w:pos="309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215" w:type="dxa"/>
      <w:jc w:val="left"/>
      <w:tblInd w:w="-431" w:type="dxa"/>
      <w:tblCellMar>
        <w:top w:w="0" w:type="dxa"/>
        <w:left w:w="108" w:type="dxa"/>
        <w:bottom w:w="0" w:type="dxa"/>
        <w:right w:w="108" w:type="dxa"/>
      </w:tblCellMar>
      <w:tblLook w:val="04a0" w:noVBand="1" w:noHBand="0" w:lastColumn="0" w:firstColumn="1" w:lastRow="0" w:firstRow="1"/>
    </w:tblPr>
    <w:tblGrid>
      <w:gridCol w:w="2610"/>
      <w:gridCol w:w="5187"/>
      <w:gridCol w:w="1418"/>
    </w:tblGrid>
    <w:tr>
      <w:trPr>
        <w:trHeight w:val="368" w:hRule="atLeast"/>
      </w:trPr>
      <w:tc>
        <w:tcPr>
          <w:tcW w:w="2610" w:type="dxa"/>
          <w:vMerge w:val="restart"/>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drawing>
              <wp:anchor behindDoc="1" distT="0" distB="5080" distL="114300" distR="114300" simplePos="0" locked="0" layoutInCell="1" allowOverlap="1" relativeHeight="8">
                <wp:simplePos x="0" y="0"/>
                <wp:positionH relativeFrom="column">
                  <wp:posOffset>207010</wp:posOffset>
                </wp:positionH>
                <wp:positionV relativeFrom="paragraph">
                  <wp:posOffset>120650</wp:posOffset>
                </wp:positionV>
                <wp:extent cx="991870" cy="325120"/>
                <wp:effectExtent l="0" t="0" r="0" b="0"/>
                <wp:wrapNone/>
                <wp:docPr id="3" name="Imagen 3" descr="../../../logo-avipaz-20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avipaz-2018-2.jpg"/>
                        <pic:cNvPicPr>
                          <a:picLocks noChangeAspect="1" noChangeArrowheads="1"/>
                        </pic:cNvPicPr>
                      </pic:nvPicPr>
                      <pic:blipFill>
                        <a:blip r:embed="rId1"/>
                        <a:stretch>
                          <a:fillRect/>
                        </a:stretch>
                      </pic:blipFill>
                      <pic:spPr bwMode="auto">
                        <a:xfrm>
                          <a:off x="0" y="0"/>
                          <a:ext cx="991870" cy="325120"/>
                        </a:xfrm>
                        <a:prstGeom prst="rect">
                          <a:avLst/>
                        </a:prstGeom>
                      </pic:spPr>
                    </pic:pic>
                  </a:graphicData>
                </a:graphic>
              </wp:anchor>
            </w:drawing>
          </w:r>
        </w:p>
      </w:tc>
      <w:tc>
        <w:tcPr>
          <w:tcW w:w="5187" w:type="dxa"/>
          <w:vMerge w:val="restart"/>
          <w:tcBorders/>
          <w:shd w:fill="auto" w:val="clear"/>
          <w:tcMar>
            <w:left w:w="108" w:type="dxa"/>
          </w:tcMar>
        </w:tcPr>
        <w:p>
          <w:pPr>
            <w:pStyle w:val="Cabecera"/>
            <w:spacing w:lineRule="auto" w:line="240" w:before="0" w:after="0"/>
            <w:jc w:val="center"/>
            <w:rPr>
              <w:rFonts w:ascii="Arial" w:hAnsi="Arial" w:cs="Arial"/>
              <w:b/>
              <w:b/>
              <w:sz w:val="20"/>
              <w:szCs w:val="20"/>
              <w:lang w:val="es-ES"/>
            </w:rPr>
          </w:pPr>
          <w:r>
            <w:rPr>
              <w:rFonts w:cs="Arial" w:ascii="Arial" w:hAnsi="Arial"/>
              <w:b/>
              <w:sz w:val="20"/>
              <w:szCs w:val="20"/>
              <w:lang w:val="es-ES"/>
            </w:rPr>
          </w:r>
        </w:p>
        <w:p>
          <w:pPr>
            <w:pStyle w:val="Cabecera"/>
            <w:spacing w:lineRule="auto" w:line="240" w:before="0" w:after="0"/>
            <w:jc w:val="center"/>
            <w:rPr>
              <w:rFonts w:ascii="Arial" w:hAnsi="Arial" w:cs="Arial"/>
              <w:b/>
              <w:b/>
              <w:sz w:val="20"/>
              <w:szCs w:val="20"/>
            </w:rPr>
          </w:pPr>
          <w:r>
            <w:rPr>
              <w:rFonts w:cs="Arial" w:ascii="Arial" w:hAnsi="Arial"/>
              <w:b/>
              <w:sz w:val="20"/>
              <w:szCs w:val="20"/>
              <w:lang w:val="es-ES"/>
            </w:rPr>
            <w:t>PROCEDIMIENTO DE COMPRAS</w:t>
          </w:r>
        </w:p>
      </w:tc>
      <w:tc>
        <w:tcPr>
          <w:tcW w:w="1418" w:type="dxa"/>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p>
          <w:pPr>
            <w:pStyle w:val="Cabecera"/>
            <w:spacing w:lineRule="auto" w:line="240" w:before="0" w:after="0"/>
            <w:rPr>
              <w:rFonts w:ascii="Arial" w:hAnsi="Arial" w:cs="Arial"/>
              <w:b/>
              <w:b/>
              <w:sz w:val="20"/>
              <w:szCs w:val="20"/>
            </w:rPr>
          </w:pPr>
          <w:r>
            <w:rPr>
              <w:rFonts w:cs="Arial" w:ascii="Arial" w:hAnsi="Arial"/>
              <w:b/>
              <w:sz w:val="20"/>
              <w:szCs w:val="20"/>
              <w:lang w:val="es-ES"/>
            </w:rPr>
            <w:t>CO/01</w:t>
          </w:r>
        </w:p>
      </w:tc>
    </w:tr>
    <w:tr>
      <w:trPr>
        <w:trHeight w:val="367" w:hRule="atLeast"/>
      </w:trPr>
      <w:tc>
        <w:tcPr>
          <w:tcW w:w="2610" w:type="dxa"/>
          <w:vMerge w:val="continue"/>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tc>
      <w:tc>
        <w:tcPr>
          <w:tcW w:w="5187" w:type="dxa"/>
          <w:vMerge w:val="continue"/>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tc>
      <w:tc>
        <w:tcPr>
          <w:tcW w:w="1418" w:type="dxa"/>
          <w:tcBorders/>
          <w:shd w:fill="auto" w:val="clear"/>
          <w:tcMar>
            <w:left w:w="108" w:type="dxa"/>
          </w:tcMar>
        </w:tcPr>
        <w:p>
          <w:pPr>
            <w:pStyle w:val="Cabecera"/>
            <w:spacing w:lineRule="auto" w:line="240" w:before="0" w:after="0"/>
            <w:rPr>
              <w:lang w:val="es-ES"/>
            </w:rPr>
          </w:pPr>
          <w:r>
            <w:rPr>
              <w:rFonts w:cs="Arial" w:ascii="Arial" w:hAnsi="Arial"/>
              <w:b/>
              <w:sz w:val="20"/>
              <w:szCs w:val="20"/>
              <w:lang w:val="es-ES"/>
            </w:rPr>
            <w:t xml:space="preserve">PÁGINA </w:t>
          </w:r>
          <w:r>
            <w:rPr>
              <w:rFonts w:cs="Arial" w:ascii="Arial" w:hAnsi="Arial"/>
              <w:b/>
              <w:sz w:val="20"/>
              <w:szCs w:val="20"/>
              <w:lang w:val="es-ES"/>
            </w:rPr>
            <w:fldChar w:fldCharType="begin"/>
          </w:r>
          <w:r>
            <w:instrText> PAGE </w:instrText>
          </w:r>
          <w:r>
            <w:fldChar w:fldCharType="separate"/>
          </w:r>
          <w:r>
            <w:t>8</w:t>
          </w:r>
          <w:r>
            <w:fldChar w:fldCharType="end"/>
          </w:r>
        </w:p>
      </w:tc>
    </w:tr>
    <w:tr>
      <w:trPr/>
      <w:tc>
        <w:tcPr>
          <w:tcW w:w="2610" w:type="dxa"/>
          <w:tcBorders/>
          <w:shd w:fill="auto" w:val="clear"/>
          <w:tcMar>
            <w:left w:w="108" w:type="dxa"/>
          </w:tcMar>
        </w:tcPr>
        <w:p>
          <w:pPr>
            <w:pStyle w:val="Cabecera"/>
            <w:spacing w:lineRule="auto" w:line="240" w:before="0" w:after="0"/>
            <w:rPr>
              <w:rFonts w:ascii="Arial" w:hAnsi="Arial" w:cs="Arial"/>
              <w:b/>
              <w:b/>
              <w:sz w:val="20"/>
              <w:szCs w:val="20"/>
            </w:rPr>
          </w:pPr>
          <w:r>
            <w:rPr>
              <w:rFonts w:cs="Arial" w:ascii="Arial" w:hAnsi="Arial"/>
              <w:b/>
              <w:sz w:val="20"/>
              <w:szCs w:val="20"/>
              <w:lang w:val="es-ES"/>
            </w:rPr>
            <w:t xml:space="preserve">ÁREA: </w:t>
          </w:r>
        </w:p>
      </w:tc>
      <w:tc>
        <w:tcPr>
          <w:tcW w:w="6605" w:type="dxa"/>
          <w:gridSpan w:val="2"/>
          <w:tcBorders/>
          <w:shd w:fill="auto" w:val="clear"/>
          <w:tcMar>
            <w:left w:w="108" w:type="dxa"/>
          </w:tcMar>
        </w:tcPr>
        <w:p>
          <w:pPr>
            <w:pStyle w:val="Cabecera"/>
            <w:spacing w:lineRule="auto" w:line="240" w:before="0" w:after="0"/>
            <w:jc w:val="center"/>
            <w:rPr>
              <w:rFonts w:ascii="Arial" w:hAnsi="Arial" w:cs="Arial"/>
              <w:b/>
              <w:b/>
              <w:sz w:val="20"/>
              <w:szCs w:val="20"/>
            </w:rPr>
          </w:pPr>
          <w:r>
            <w:rPr>
              <w:rFonts w:cs="Arial" w:ascii="Arial" w:hAnsi="Arial"/>
              <w:b/>
              <w:sz w:val="20"/>
              <w:szCs w:val="20"/>
              <w:lang w:val="es-ES"/>
            </w:rPr>
            <w:t>DEPARTAMENTO DE COMPRAS</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215" w:type="dxa"/>
      <w:jc w:val="left"/>
      <w:tblInd w:w="-431" w:type="dxa"/>
      <w:tblCellMar>
        <w:top w:w="0" w:type="dxa"/>
        <w:left w:w="108" w:type="dxa"/>
        <w:bottom w:w="0" w:type="dxa"/>
        <w:right w:w="108" w:type="dxa"/>
      </w:tblCellMar>
      <w:tblLook w:val="04a0" w:noVBand="1" w:noHBand="0" w:lastColumn="0" w:firstColumn="1" w:lastRow="0" w:firstRow="1"/>
    </w:tblPr>
    <w:tblGrid>
      <w:gridCol w:w="2610"/>
      <w:gridCol w:w="5187"/>
      <w:gridCol w:w="1418"/>
    </w:tblGrid>
    <w:tr>
      <w:trPr>
        <w:trHeight w:val="368" w:hRule="atLeast"/>
      </w:trPr>
      <w:tc>
        <w:tcPr>
          <w:tcW w:w="2610" w:type="dxa"/>
          <w:vMerge w:val="restart"/>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drawing>
              <wp:anchor behindDoc="1" distT="0" distB="5080" distL="114300" distR="114300" simplePos="0" locked="0" layoutInCell="1" allowOverlap="1" relativeHeight="11">
                <wp:simplePos x="0" y="0"/>
                <wp:positionH relativeFrom="column">
                  <wp:posOffset>207010</wp:posOffset>
                </wp:positionH>
                <wp:positionV relativeFrom="paragraph">
                  <wp:posOffset>120650</wp:posOffset>
                </wp:positionV>
                <wp:extent cx="991870" cy="325120"/>
                <wp:effectExtent l="0" t="0" r="0" b="0"/>
                <wp:wrapNone/>
                <wp:docPr id="4" name="Imagen 4" descr="../../../logo-avipaz-20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avipaz-2018-2.jpg"/>
                        <pic:cNvPicPr>
                          <a:picLocks noChangeAspect="1" noChangeArrowheads="1"/>
                        </pic:cNvPicPr>
                      </pic:nvPicPr>
                      <pic:blipFill>
                        <a:blip r:embed="rId1"/>
                        <a:stretch>
                          <a:fillRect/>
                        </a:stretch>
                      </pic:blipFill>
                      <pic:spPr bwMode="auto">
                        <a:xfrm>
                          <a:off x="0" y="0"/>
                          <a:ext cx="991870" cy="325120"/>
                        </a:xfrm>
                        <a:prstGeom prst="rect">
                          <a:avLst/>
                        </a:prstGeom>
                      </pic:spPr>
                    </pic:pic>
                  </a:graphicData>
                </a:graphic>
              </wp:anchor>
            </w:drawing>
          </w:r>
        </w:p>
      </w:tc>
      <w:tc>
        <w:tcPr>
          <w:tcW w:w="5187" w:type="dxa"/>
          <w:vMerge w:val="restart"/>
          <w:tcBorders/>
          <w:shd w:fill="auto" w:val="clear"/>
          <w:tcMar>
            <w:left w:w="108" w:type="dxa"/>
          </w:tcMar>
        </w:tcPr>
        <w:p>
          <w:pPr>
            <w:pStyle w:val="Cabecera"/>
            <w:spacing w:lineRule="auto" w:line="240" w:before="0" w:after="0"/>
            <w:jc w:val="center"/>
            <w:rPr>
              <w:rFonts w:ascii="Arial" w:hAnsi="Arial" w:cs="Arial"/>
              <w:b/>
              <w:b/>
              <w:sz w:val="20"/>
              <w:szCs w:val="20"/>
              <w:lang w:val="es-ES"/>
            </w:rPr>
          </w:pPr>
          <w:r>
            <w:rPr>
              <w:rFonts w:cs="Arial" w:ascii="Arial" w:hAnsi="Arial"/>
              <w:b/>
              <w:sz w:val="20"/>
              <w:szCs w:val="20"/>
              <w:lang w:val="es-ES"/>
            </w:rPr>
          </w:r>
        </w:p>
        <w:p>
          <w:pPr>
            <w:pStyle w:val="Cabecera"/>
            <w:spacing w:lineRule="auto" w:line="240" w:before="0" w:after="0"/>
            <w:jc w:val="center"/>
            <w:rPr>
              <w:rFonts w:ascii="Arial" w:hAnsi="Arial" w:cs="Arial"/>
              <w:b/>
              <w:b/>
              <w:sz w:val="20"/>
              <w:szCs w:val="20"/>
            </w:rPr>
          </w:pPr>
          <w:r>
            <w:rPr>
              <w:rFonts w:cs="Arial" w:ascii="Arial" w:hAnsi="Arial"/>
              <w:b/>
              <w:sz w:val="20"/>
              <w:szCs w:val="20"/>
              <w:lang w:val="es-ES"/>
            </w:rPr>
            <w:t>PROCEDIMIENTO DE COMPRAS</w:t>
          </w:r>
        </w:p>
      </w:tc>
      <w:tc>
        <w:tcPr>
          <w:tcW w:w="1418" w:type="dxa"/>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p>
          <w:pPr>
            <w:pStyle w:val="Cabecera"/>
            <w:spacing w:lineRule="auto" w:line="240" w:before="0" w:after="0"/>
            <w:rPr>
              <w:rFonts w:ascii="Arial" w:hAnsi="Arial" w:cs="Arial"/>
              <w:b/>
              <w:b/>
              <w:sz w:val="20"/>
              <w:szCs w:val="20"/>
            </w:rPr>
          </w:pPr>
          <w:r>
            <w:rPr>
              <w:rFonts w:cs="Arial" w:ascii="Arial" w:hAnsi="Arial"/>
              <w:b/>
              <w:sz w:val="20"/>
              <w:szCs w:val="20"/>
              <w:lang w:val="es-ES"/>
            </w:rPr>
            <w:t>CO/01</w:t>
          </w:r>
        </w:p>
      </w:tc>
    </w:tr>
    <w:tr>
      <w:trPr>
        <w:trHeight w:val="367" w:hRule="atLeast"/>
      </w:trPr>
      <w:tc>
        <w:tcPr>
          <w:tcW w:w="2610" w:type="dxa"/>
          <w:vMerge w:val="continue"/>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tc>
      <w:tc>
        <w:tcPr>
          <w:tcW w:w="5187" w:type="dxa"/>
          <w:vMerge w:val="continue"/>
          <w:tcBorders/>
          <w:shd w:fill="auto" w:val="clear"/>
          <w:tcMar>
            <w:left w:w="108" w:type="dxa"/>
          </w:tcMar>
        </w:tcPr>
        <w:p>
          <w:pPr>
            <w:pStyle w:val="Cabecera"/>
            <w:spacing w:lineRule="auto" w:line="240" w:before="0" w:after="0"/>
            <w:rPr>
              <w:rFonts w:ascii="Arial" w:hAnsi="Arial" w:cs="Arial"/>
              <w:b/>
              <w:b/>
              <w:sz w:val="20"/>
              <w:szCs w:val="20"/>
              <w:lang w:val="es-ES"/>
            </w:rPr>
          </w:pPr>
          <w:r>
            <w:rPr>
              <w:rFonts w:cs="Arial" w:ascii="Arial" w:hAnsi="Arial"/>
              <w:b/>
              <w:sz w:val="20"/>
              <w:szCs w:val="20"/>
              <w:lang w:val="es-ES"/>
            </w:rPr>
          </w:r>
        </w:p>
      </w:tc>
      <w:tc>
        <w:tcPr>
          <w:tcW w:w="1418" w:type="dxa"/>
          <w:tcBorders/>
          <w:shd w:fill="auto" w:val="clear"/>
          <w:tcMar>
            <w:left w:w="108" w:type="dxa"/>
          </w:tcMar>
        </w:tcPr>
        <w:p>
          <w:pPr>
            <w:pStyle w:val="Cabecera"/>
            <w:spacing w:lineRule="auto" w:line="240" w:before="0" w:after="0"/>
            <w:rPr>
              <w:lang w:val="es-ES"/>
            </w:rPr>
          </w:pPr>
          <w:r>
            <w:rPr>
              <w:rFonts w:cs="Arial" w:ascii="Arial" w:hAnsi="Arial"/>
              <w:b/>
              <w:sz w:val="20"/>
              <w:szCs w:val="20"/>
              <w:lang w:val="es-ES"/>
            </w:rPr>
            <w:t xml:space="preserve">PÁGINA </w:t>
          </w:r>
          <w:r>
            <w:rPr>
              <w:rFonts w:cs="Arial" w:ascii="Arial" w:hAnsi="Arial"/>
              <w:b/>
              <w:sz w:val="20"/>
              <w:szCs w:val="20"/>
              <w:lang w:val="es-ES"/>
            </w:rPr>
            <w:fldChar w:fldCharType="begin"/>
          </w:r>
          <w:r>
            <w:instrText> PAGE </w:instrText>
          </w:r>
          <w:r>
            <w:fldChar w:fldCharType="separate"/>
          </w:r>
          <w:r>
            <w:t>1</w:t>
          </w:r>
          <w:r>
            <w:fldChar w:fldCharType="end"/>
          </w:r>
        </w:p>
      </w:tc>
    </w:tr>
    <w:tr>
      <w:trPr/>
      <w:tc>
        <w:tcPr>
          <w:tcW w:w="2610" w:type="dxa"/>
          <w:tcBorders/>
          <w:shd w:fill="auto" w:val="clear"/>
          <w:tcMar>
            <w:left w:w="108" w:type="dxa"/>
          </w:tcMar>
        </w:tcPr>
        <w:p>
          <w:pPr>
            <w:pStyle w:val="Cabecera"/>
            <w:spacing w:lineRule="auto" w:line="240" w:before="0" w:after="0"/>
            <w:rPr>
              <w:rFonts w:ascii="Arial" w:hAnsi="Arial" w:cs="Arial"/>
              <w:b/>
              <w:b/>
              <w:sz w:val="20"/>
              <w:szCs w:val="20"/>
            </w:rPr>
          </w:pPr>
          <w:r>
            <w:rPr>
              <w:rFonts w:cs="Arial" w:ascii="Arial" w:hAnsi="Arial"/>
              <w:b/>
              <w:sz w:val="20"/>
              <w:szCs w:val="20"/>
              <w:lang w:val="es-ES"/>
            </w:rPr>
            <w:t xml:space="preserve">ÁREA: </w:t>
          </w:r>
        </w:p>
      </w:tc>
      <w:tc>
        <w:tcPr>
          <w:tcW w:w="6605" w:type="dxa"/>
          <w:gridSpan w:val="2"/>
          <w:tcBorders/>
          <w:shd w:fill="auto" w:val="clear"/>
          <w:tcMar>
            <w:left w:w="108" w:type="dxa"/>
          </w:tcMar>
        </w:tcPr>
        <w:p>
          <w:pPr>
            <w:pStyle w:val="Cabecera"/>
            <w:spacing w:lineRule="auto" w:line="240" w:before="0" w:after="0"/>
            <w:jc w:val="center"/>
            <w:rPr>
              <w:rFonts w:ascii="Arial" w:hAnsi="Arial" w:cs="Arial"/>
              <w:b/>
              <w:b/>
              <w:sz w:val="20"/>
              <w:szCs w:val="20"/>
            </w:rPr>
          </w:pPr>
          <w:r>
            <w:rPr>
              <w:rFonts w:cs="Arial" w:ascii="Arial" w:hAnsi="Arial"/>
              <w:b/>
              <w:sz w:val="20"/>
              <w:szCs w:val="20"/>
              <w:lang w:val="es-ES"/>
            </w:rPr>
            <w:t>DEPARTAMENTO DE COMPRAS</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2148" w:hanging="360"/>
      </w:pPr>
    </w:lvl>
    <w:lvl w:ilvl="1">
      <w:start w:val="1"/>
      <w:numFmt w:val="bullet"/>
      <w:lvlText w:val=""/>
      <w:lvlJc w:val="left"/>
      <w:pPr>
        <w:ind w:left="2868" w:hanging="360"/>
      </w:pPr>
      <w:rPr>
        <w:rFonts w:ascii="Symbol" w:hAnsi="Symbol" w:cs="Symbol" w:hint="default"/>
      </w:rPr>
    </w:lvl>
    <w:lvl w:ilvl="2">
      <w:start w:val="1"/>
      <w:numFmt w:val="lowerRoman"/>
      <w:lvlText w:val="%3."/>
      <w:lvlJc w:val="right"/>
      <w:pPr>
        <w:ind w:left="3588" w:hanging="180"/>
      </w:pPr>
    </w:lvl>
    <w:lvl w:ilvl="3">
      <w:start w:val="1"/>
      <w:numFmt w:val="decimal"/>
      <w:lvlText w:val="%4."/>
      <w:lvlJc w:val="left"/>
      <w:pPr>
        <w:ind w:left="4308" w:hanging="360"/>
      </w:pPr>
    </w:lvl>
    <w:lvl w:ilvl="4">
      <w:start w:val="1"/>
      <w:numFmt w:val="lowerLetter"/>
      <w:lvlText w:val="%5."/>
      <w:lvlJc w:val="left"/>
      <w:pPr>
        <w:ind w:left="5028" w:hanging="360"/>
      </w:pPr>
    </w:lvl>
    <w:lvl w:ilvl="5">
      <w:start w:val="1"/>
      <w:numFmt w:val="lowerRoman"/>
      <w:lvlText w:val="%6."/>
      <w:lvlJc w:val="right"/>
      <w:pPr>
        <w:ind w:left="5748" w:hanging="180"/>
      </w:pPr>
    </w:lvl>
    <w:lvl w:ilvl="6">
      <w:start w:val="1"/>
      <w:numFmt w:val="decimal"/>
      <w:lvlText w:val="%7."/>
      <w:lvlJc w:val="left"/>
      <w:pPr>
        <w:ind w:left="6468" w:hanging="360"/>
      </w:pPr>
    </w:lvl>
    <w:lvl w:ilvl="7">
      <w:start w:val="1"/>
      <w:numFmt w:val="lowerLetter"/>
      <w:lvlText w:val="%8."/>
      <w:lvlJc w:val="left"/>
      <w:pPr>
        <w:ind w:left="7188" w:hanging="360"/>
      </w:pPr>
    </w:lvl>
    <w:lvl w:ilvl="8">
      <w:start w:val="1"/>
      <w:numFmt w:val="lowerRoman"/>
      <w:lvlText w:val="%9."/>
      <w:lvlJc w:val="right"/>
      <w:pPr>
        <w:ind w:left="7908" w:hanging="180"/>
      </w:pPr>
    </w:lvl>
  </w:abstractNum>
  <w:abstractNum w:abstractNumId="4">
    <w:lvl w:ilvl="0">
      <w:start w:val="5"/>
      <w:numFmt w:val="decimal"/>
      <w:lvlText w:val="%1."/>
      <w:lvlJc w:val="left"/>
      <w:pPr>
        <w:ind w:left="480" w:hanging="480"/>
      </w:pPr>
    </w:lvl>
    <w:lvl w:ilvl="1">
      <w:start w:val="1"/>
      <w:numFmt w:val="decimal"/>
      <w:lvlText w:val="%1.%2."/>
      <w:lvlJc w:val="left"/>
      <w:pPr>
        <w:ind w:left="1800" w:hanging="720"/>
      </w:pPr>
    </w:lvl>
    <w:lvl w:ilvl="2">
      <w:start w:val="1"/>
      <w:numFmt w:val="decimal"/>
      <w:lvlText w:val="%1.%2.%3."/>
      <w:lvlJc w:val="left"/>
      <w:pPr>
        <w:ind w:left="2073" w:hanging="1080"/>
      </w:pPr>
    </w:lvl>
    <w:lvl w:ilvl="3">
      <w:start w:val="1"/>
      <w:numFmt w:val="decimal"/>
      <w:lvlText w:val="%1.%2.%3.%4."/>
      <w:lvlJc w:val="left"/>
      <w:pPr>
        <w:ind w:left="4680" w:hanging="144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10080" w:hanging="2520"/>
      </w:pPr>
    </w:lvl>
    <w:lvl w:ilvl="8">
      <w:start w:val="1"/>
      <w:numFmt w:val="decimal"/>
      <w:lvlText w:val="%1.%2.%3.%4.%5.%6.%7.%8.%9."/>
      <w:lvlJc w:val="left"/>
      <w:pPr>
        <w:ind w:left="11160" w:hanging="2520"/>
      </w:pPr>
    </w:lvl>
  </w:abstractNum>
  <w:abstractNum w:abstractNumId="5">
    <w:lvl w:ilvl="0">
      <w:start w:val="1"/>
      <w:numFmt w:val="bullet"/>
      <w:lvlText w:val=""/>
      <w:lvlJc w:val="left"/>
      <w:pPr>
        <w:ind w:left="6598" w:hanging="360"/>
      </w:pPr>
      <w:rPr>
        <w:rFonts w:ascii="Symbol" w:hAnsi="Symbol" w:cs="Symbol" w:hint="default"/>
      </w:rPr>
    </w:lvl>
    <w:lvl w:ilvl="1">
      <w:start w:val="1"/>
      <w:numFmt w:val="bullet"/>
      <w:lvlText w:val="o"/>
      <w:lvlJc w:val="left"/>
      <w:pPr>
        <w:ind w:left="7318" w:hanging="360"/>
      </w:pPr>
      <w:rPr>
        <w:rFonts w:ascii="Courier New" w:hAnsi="Courier New" w:cs="Courier New" w:hint="default"/>
        <w:rFonts w:cs="Courier New"/>
      </w:rPr>
    </w:lvl>
    <w:lvl w:ilvl="2">
      <w:start w:val="1"/>
      <w:numFmt w:val="bullet"/>
      <w:lvlText w:val=""/>
      <w:lvlJc w:val="left"/>
      <w:pPr>
        <w:ind w:left="8038" w:hanging="360"/>
      </w:pPr>
      <w:rPr>
        <w:rFonts w:ascii="Wingdings" w:hAnsi="Wingdings" w:cs="Wingdings" w:hint="default"/>
      </w:rPr>
    </w:lvl>
    <w:lvl w:ilvl="3">
      <w:start w:val="1"/>
      <w:numFmt w:val="bullet"/>
      <w:lvlText w:val=""/>
      <w:lvlJc w:val="left"/>
      <w:pPr>
        <w:ind w:left="8758" w:hanging="360"/>
      </w:pPr>
      <w:rPr>
        <w:rFonts w:ascii="Symbol" w:hAnsi="Symbol" w:cs="Symbol" w:hint="default"/>
      </w:rPr>
    </w:lvl>
    <w:lvl w:ilvl="4">
      <w:start w:val="1"/>
      <w:numFmt w:val="bullet"/>
      <w:lvlText w:val="o"/>
      <w:lvlJc w:val="left"/>
      <w:pPr>
        <w:ind w:left="9478" w:hanging="360"/>
      </w:pPr>
      <w:rPr>
        <w:rFonts w:ascii="Courier New" w:hAnsi="Courier New" w:cs="Courier New" w:hint="default"/>
        <w:rFonts w:cs="Courier New"/>
      </w:rPr>
    </w:lvl>
    <w:lvl w:ilvl="5">
      <w:start w:val="1"/>
      <w:numFmt w:val="bullet"/>
      <w:lvlText w:val=""/>
      <w:lvlJc w:val="left"/>
      <w:pPr>
        <w:ind w:left="10198" w:hanging="360"/>
      </w:pPr>
      <w:rPr>
        <w:rFonts w:ascii="Wingdings" w:hAnsi="Wingdings" w:cs="Wingdings" w:hint="default"/>
      </w:rPr>
    </w:lvl>
    <w:lvl w:ilvl="6">
      <w:start w:val="1"/>
      <w:numFmt w:val="bullet"/>
      <w:lvlText w:val=""/>
      <w:lvlJc w:val="left"/>
      <w:pPr>
        <w:ind w:left="10918" w:hanging="360"/>
      </w:pPr>
      <w:rPr>
        <w:rFonts w:ascii="Symbol" w:hAnsi="Symbol" w:cs="Symbol" w:hint="default"/>
      </w:rPr>
    </w:lvl>
    <w:lvl w:ilvl="7">
      <w:start w:val="1"/>
      <w:numFmt w:val="bullet"/>
      <w:lvlText w:val="o"/>
      <w:lvlJc w:val="left"/>
      <w:pPr>
        <w:ind w:left="11638" w:hanging="360"/>
      </w:pPr>
      <w:rPr>
        <w:rFonts w:ascii="Courier New" w:hAnsi="Courier New" w:cs="Courier New" w:hint="default"/>
        <w:rFonts w:cs="Courier New"/>
      </w:rPr>
    </w:lvl>
    <w:lvl w:ilvl="8">
      <w:start w:val="1"/>
      <w:numFmt w:val="bullet"/>
      <w:lvlText w:val=""/>
      <w:lvlJc w:val="left"/>
      <w:pPr>
        <w:ind w:left="12358"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20da"/>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rrafodelistaCar" w:customStyle="1">
    <w:name w:val="Párrafo de lista Car"/>
    <w:basedOn w:val="DefaultParagraphFont"/>
    <w:link w:val="Prrafodelista"/>
    <w:uiPriority w:val="34"/>
    <w:qFormat/>
    <w:locked/>
    <w:rsid w:val="00c820da"/>
    <w:rPr>
      <w:lang w:val="es-ES"/>
    </w:rPr>
  </w:style>
  <w:style w:type="character" w:styleId="EncabezadoCar" w:customStyle="1">
    <w:name w:val="Encabezado Car"/>
    <w:basedOn w:val="DefaultParagraphFont"/>
    <w:link w:val="Encabezado"/>
    <w:uiPriority w:val="99"/>
    <w:qFormat/>
    <w:rsid w:val="00b6570b"/>
    <w:rPr>
      <w:lang w:val="es-ES"/>
    </w:rPr>
  </w:style>
  <w:style w:type="character" w:styleId="PiedepginaCar" w:customStyle="1">
    <w:name w:val="Pie de página Car"/>
    <w:basedOn w:val="DefaultParagraphFont"/>
    <w:link w:val="Piedepgina"/>
    <w:uiPriority w:val="99"/>
    <w:qFormat/>
    <w:rsid w:val="00b6570b"/>
    <w:rPr>
      <w:lang w:val="es-ES"/>
    </w:rPr>
  </w:style>
  <w:style w:type="character" w:styleId="TextodegloboCar" w:customStyle="1">
    <w:name w:val="Texto de globo Car"/>
    <w:basedOn w:val="DefaultParagraphFont"/>
    <w:link w:val="Textodeglobo"/>
    <w:uiPriority w:val="99"/>
    <w:semiHidden/>
    <w:qFormat/>
    <w:rsid w:val="00df19e3"/>
    <w:rPr>
      <w:rFonts w:ascii="Segoe UI" w:hAnsi="Segoe UI" w:cs="Segoe UI"/>
      <w:sz w:val="18"/>
      <w:szCs w:val="18"/>
      <w:lang w:val="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WenQuanYi Zen Hei Sharp"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link w:val="PrrafodelistaCar"/>
    <w:uiPriority w:val="34"/>
    <w:qFormat/>
    <w:rsid w:val="00c820da"/>
    <w:pPr>
      <w:spacing w:before="0" w:after="160"/>
      <w:ind w:left="720" w:hanging="0"/>
      <w:contextualSpacing/>
    </w:pPr>
    <w:rPr/>
  </w:style>
  <w:style w:type="paragraph" w:styleId="Cabecera">
    <w:name w:val="Header"/>
    <w:basedOn w:val="Normal"/>
    <w:link w:val="EncabezadoCar"/>
    <w:uiPriority w:val="99"/>
    <w:unhideWhenUsed/>
    <w:rsid w:val="00b6570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b6570b"/>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f19e3"/>
    <w:pPr>
      <w:spacing w:lineRule="auto" w:line="240" w:before="0" w:after="0"/>
    </w:pPr>
    <w:rPr>
      <w:rFonts w:ascii="Segoe UI" w:hAnsi="Segoe UI" w:cs="Segoe UI"/>
      <w:sz w:val="18"/>
      <w:szCs w:val="18"/>
    </w:rPr>
  </w:style>
  <w:style w:type="paragraph" w:styleId="NoSpacing">
    <w:name w:val="No Spacing"/>
    <w:uiPriority w:val="1"/>
    <w:qFormat/>
    <w:rsid w:val="00db2b6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c820da"/>
    <w:pPr>
      <w:spacing w:after="0" w:line="240" w:lineRule="auto"/>
    </w:pPr>
    <w:rPr>
      <w:lang w:val="es-E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rsid w:val="00b6570b"/>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2">
    <w:name w:val="Tabla con cuadrícula2"/>
    <w:basedOn w:val="Tablanormal"/>
    <w:rsid w:val="00b6570b"/>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header" Target="header1.xml"/><Relationship Id="rId6" Type="http://schemas.openxmlformats.org/officeDocument/2006/relationships/footer" Target="footer1.xml"/><Relationship Id="rId2" Type="http://schemas.openxmlformats.org/officeDocument/2006/relationships/image" Target="media/image1.png"/><Relationship Id="rId7" Type="http://schemas.openxmlformats.org/officeDocument/2006/relationships/footer" Target="footer2.xml"/><Relationship Id="rId9" Type="http://schemas.openxmlformats.org/officeDocument/2006/relationships/fontTable" Target="fontTable.xml"/><Relationship Id="rId8" Type="http://schemas.openxmlformats.org/officeDocument/2006/relationships/numbering" Target="numbering.xml"/><Relationship Id="rId13" Type="http://schemas.openxmlformats.org/officeDocument/2006/relationships/image" Target="media/image6.jpg"/><Relationship Id="rId12" Type="http://schemas.openxmlformats.org/officeDocument/2006/relationships/image" Target="media/image5.jpg"/><Relationship Id="rId11" Type="http://schemas.openxmlformats.org/officeDocument/2006/relationships/theme" Target="theme/theme1.xml"/><Relationship Id="rId10" Type="http://schemas.openxmlformats.org/officeDocument/2006/relationships/settings" Target="settings.xml"/><Relationship Id="rId3" Type="http://schemas.openxmlformats.org/officeDocument/2006/relationships/image" Target="media/image2.png"/><Relationship Id="rId5" Type="http://schemas.openxmlformats.org/officeDocument/2006/relationships/header" Target="head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LibreOffice/5.3.6.1$Linux_X86_64 LibreOffice_project/30$Build-1</Application>
  <Pages>8</Pages>
  <Words>1766</Words>
  <Characters>9731</Characters>
  <CharactersWithSpaces>11354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2018-07-05T16:37:00Z</dcterms:created>
  <dc:creator>PC</dc:creator>
  <dc:description/>
  <dc:language>es-EC</dc:language>
  <cp:lastModifiedBy/>
  <cp:lastPrinted>2018-07-06T15:34:00Z</cp:lastPrinted>
  <dcterms:modified xsi:type="dcterms:W3CDTF">2018-11-09T16:29:17Z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