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rFonts w:ascii="맑은 고딕" w:cs="맑은 고딕" w:eastAsia="맑은 고딕" w:hAnsi="맑은 고딕"/>
          <w:b/>
          <w:bCs/>
          <w:color w:val="0E2742"/>
          <w:sz w:val="38"/>
          <w:szCs w:val="38"/>
        </w:rPr>
        <w:t xml:space="preserve">FINSIGHT 발표 스크립트 — V6 (슬라이드 1~12)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5A6573"/>
          <w:sz w:val="18"/>
          <w:szCs w:val="18"/>
        </w:rPr>
        <w:t xml:space="preserve">PPT v5/v6 순서 동기화 · 핵심만·구어체 · ★슬라이드 12(AWS 시연)까지 8분 목표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A6573"/>
          <w:sz w:val="18"/>
          <w:szCs w:val="18"/>
        </w:rPr>
        <w:t xml:space="preserve">읽는 법 : 🎙 = 말할 멘트. 각 슬라이드 옆 시간은 목표 소요. 외우지 말고 자연스럽게 풀어 말하세요. 1~9는 짧게 흘리고, 밸류(10·11)에 시간을 쓰세요.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0E2742"/>
          <w:sz w:val="32"/>
          <w:szCs w:val="32"/>
        </w:rPr>
        <w:t xml:space="preserve">Part 1.  슬라이드별 멘트 (1~12)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4"/>
          <w:szCs w:val="24"/>
        </w:rPr>
        <w:t xml:space="preserve">01 · 표지 FINSIGHT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~20s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“안녕하세요. FINSIGHT는 전문가가 한 종목을 빠르게 파악하던 방식을, 일반 투자자도 한 화면에서 하게 만든 — AI 기반 기업 분석·가치 평가 서비스입니다.”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4"/>
          <w:szCs w:val="24"/>
        </w:rPr>
        <w:t xml:space="preserve">02 · 목차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~10s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“왜 만들었는지, 어떻게 만들었는지, 그리고 실제로 어떻게 돌아가는지 — 순서대로 보여드리겠습니다.”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4"/>
          <w:szCs w:val="24"/>
        </w:rPr>
        <w:t xml:space="preserve">03 · 기획 배경 · 문제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~45s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“제가 펀드매니저로 일하며 느낀 건, 전문가의 하루는 ‘정보’로 시작한다는 겁니다. 아침이면 전날 미국 증시와 선물을 보고 오늘 시장을 가늠하고, 처음 만나는 회사는 미팅 전에 뉴스·공시·연혁을 빠르게 훑어 파악하죠.”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“그런데 이런 도구는 사실상 기관·전문가의 것이었습니다. 일반 투자자는 정보가 흩어져 있고, 용어는 어렵고, 출처는 불분명하죠. 그래서 FINSIGHT는 이 ‘정보 격차’를 줄여, 누구나 근거로 판단하게 만드는 데서 출발했습니다.”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4"/>
          <w:szCs w:val="24"/>
        </w:rPr>
        <w:t xml:space="preserve">04 · 개발 과정 (WBS)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~25s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“약 두 달, 다섯 스프린트로 만들었습니다. 멘토링을 네 번 반영했고, 스프린트 2부터는 기업분석 파트와 밸류에이션 파트로 나눠 동시에 개발했습니다.”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4"/>
          <w:szCs w:val="24"/>
        </w:rPr>
        <w:t xml:space="preserve">05 · 팀 구성 (★4명→2명 애니메이션)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~25s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“팀은 처음 네 명으로 시작했습니다. 저는 PM·공통과 기업분석을, 고휘주 님은 히스토리 브리핑과 계열사를, 유태상 님은 밸류에이션과 AI 챗봇을, 손소희 님은 밸류에이션 파트를 맡았죠.”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(클릭 — 고휘주·손소희 fade out) “다만 중간에 두 분이 합류를 마쳐, 지금은 저와 유태상 님, 두 사람이 끝까지 마무리했습니다.”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4"/>
          <w:szCs w:val="24"/>
        </w:rPr>
        <w:t xml:space="preserve">06 · 시스템 아키텍처 (인프라 흐름만)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~30s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“전체 구조입니다. 사용자가 접속하면, AWS 안에서 nginx가 안전하게 받아 FastAPI로 넘기고, 화면으로 내보냅니다. 다만 AI 챗봇만 GPU가 필요해 별도 서버로 분리했고, 평소엔 꺼서 비용을 아낍니다. 데이터는 성격에 따라 네 곳에 나눠 담는데 — 그 구조는 곧 ERD에서 보여드리죠.”  (★DB 상세는 ERD로 미뤄 중복 방지)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4"/>
          <w:szCs w:val="24"/>
        </w:rPr>
        <w:t xml:space="preserve">07 · 데이터 파이프라인 (처리 흐름만)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~30s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“데이터는 다섯 단계로 흐릅니다. 공식 출처에서 수집하고, 우리 형태로 정규화·생성한 뒤, DART 원본과 대조해 검증합니다. 여기서 없으면 가짜로 채우지 않고 ‘데이터 없음’으로 둡니다 — 저희 NO-MOCK 원칙이죠. 그렇게 검증된 것만 저장하고 화면에 서빙합니다.”  (★저장소 나열은 ERD로 미룸)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4"/>
          <w:szCs w:val="24"/>
        </w:rPr>
        <w:t xml:space="preserve">08 · 데이터 구조 ERD (DB 상세는 여기만)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~25s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“데이터 구조는 단순합니다. 가운데 회사 기본정보가 뿌리이고, ‘종목코드’ 하나로 재무·주가·주주·가치가 전부 연결됩니다. 표로 딱 맞는 16개는 RDS에, 회사 이야기는 MongoDB, AI 검색용은 ChromaDB, 그림·파일은 S3 — 성격에 맞는 저장소에 나눠 담았습니다.”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4"/>
          <w:szCs w:val="24"/>
        </w:rPr>
        <w:t xml:space="preserve">09 · 기술 스택 (구어체·큰 틀·20~30s)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~25s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“기술은 화면부터 인프라까지 전부 직접 구축했습니다. 화면은 Next.js, 서버는 FastAPI, 데이터는 네 종류 DB, AI는 OpenAI와 임베딩 모델, 인프라는 AWS죠. 세부 항목까지는 굳이 안 읽겠습니다 — 각 기술을 왜 골랐는지는 질문 주시면 말씀드릴게요. 다만 한 가지 원칙만, AI는 ‘찾기’만 맡고 판단은 정해진 규칙이 합니다. 그래야 거짓을 안 지어내니까요.”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4"/>
          <w:szCs w:val="24"/>
        </w:rPr>
        <w:t xml:space="preserve">10 · 밸류에이션 ① 상대가치 (멀티플·피어)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~70s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도입 — “이제 핵심, ‘이 주식이 비싼가 싼가’입니다. 방법은 둘 — 옆 회사와 비교하는 상대가치, 회사 자체 값을 보는 절대가치. 먼저 상대가치예요.”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① 멀티플 — “멀티플은 ‘가격 배수’입니다. PER은 이익 대비 주가가 몇 배인지, EV/EBITDA는 회사 몸값이 영업이익의 몇 배인지를 보죠. 이런 네 잣대로 적정가를 매기고, 치우치지 않게 가운데값으로 종합합니다. 적정가가 지금 주가보다 높으면 ‘아직 싼 편’, 낮으면 ‘비싼 편’입니다.”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② 피어기업 — “누구와 비교하느냐가 결과의 절반이라, 사람이 안 고르고 업종·규모·사업내용 등 열 가지 점수로 상위 세 곳을 자동 선정합니다. 그 선정이 얼마나 잘됐는지 A부터 E까지 등급으로 공개하고, 비교 회사 목록도 그대로 보여주죠. 자동이라 가끔 결이 다른 회사가 섞일 수 있어, 등급과 목록을 꼭 함께 보시길 권합니다.”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4"/>
          <w:szCs w:val="24"/>
        </w:rPr>
        <w:t xml:space="preserve">11 · 밸류에이션 ② 절대가치 (DCF·WACC)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~70s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③ DCF — “DCF는 회사가 앞으로 벌 현금을 5년 예측하고, 그 이후를 묶어, 오늘 가치로 환산한 ‘회사 본연의 값’입니다. 가정에 민감해 하나의 숫자가 아니라 범위로 보여드리고요. 현재가와의 차이는 ‘틀렸다’가 아니라 ‘시장의 기대’로 해석합니다. 가장 단단한 신호는 ‘필요 성장률’ — 지금 주가가 정당화되려면 얼마나 성장해야 하는지를 거꾸로 본 값으로, 경제성장률 약 3%보다 너무 높으면 고평가, 낮으면 저평가 신호죠.”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④ WACC — “WACC는 방금 그 할인율이자, 주주 돈과 빌린 돈을 끌어 쓰는 평균 비용입니다. 보통 8~13%이고, 위험한 회사일수록 높아져 미래 이익을 더 깐깐하게 봅니다. 회사 수익률(ROIC)이 이 WACC를 넘으면 가치를 창출하는 좋은 회사죠. 단, 주주 개인의 최소 기대수익률은 WACC가 아니라 Ke(자기자본비용)이고, 보통 Ke가 더 높습니다.”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마무리 — “이렇게 절대가치 하나와 상대가치 셋, 네 잣대로 교차검증하고, 신뢰도가 낮으면 숫자를 숨겨 과신을 막습니다.”</w:t>
      </w:r>
    </w:p>
    <w:p>
      <w:pPr>
        <w:pStyle w:val="Heading2"/>
        <w:spacing w:after="70" w:before="230"/>
      </w:pPr>
      <w:r>
        <w:rPr>
          <w:rFonts w:ascii="맑은 고딕" w:cs="맑은 고딕" w:eastAsia="맑은 고딕" w:hAnsi="맑은 고딕"/>
          <w:b/>
          <w:bCs/>
          <w:color w:val="B5872B"/>
          <w:sz w:val="24"/>
          <w:szCs w:val="24"/>
        </w:rPr>
        <w:t xml:space="preserve">12 · AWS 배포 버전 시연 (전환)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~10s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🎙 “자, 이제 말씀드린 걸 실제 서비스로 보여드리겠습니다. 데모 화면이 아니라, AWS에 배포된 진짜 서비스입니다.”  → (라이브 시연 = Part 2)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0E2742"/>
          <w:sz w:val="32"/>
          <w:szCs w:val="32"/>
        </w:rPr>
        <w:t xml:space="preserve">Part 2.  라이브 밸류에이션 화면 시연 대본 (슬 12 이후 · 약 2분)</w:t>
      </w:r>
    </w:p>
    <w:p>
      <w:pPr>
        <w:spacing w:after="9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A6573"/>
          <w:sz w:val="18"/>
          <w:szCs w:val="18"/>
        </w:rPr>
        <w:t xml:space="preserve">실제 종목(예: 009150 삼성전기) 밸류 탭을 위→아래로 스크롤하며. 첨부 ‘화면스크롤’ 대본 압축본.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1A6E47"/>
          <w:sz w:val="20"/>
          <w:szCs w:val="20"/>
        </w:rPr>
        <w:t xml:space="preserve">▸ 도입</w:t>
      </w:r>
    </w:p>
    <w:p>
      <w:pPr>
        <w:spacing w:after="11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“실제 화면을 위에서 아래로 따라가며 보겠습니다. 결론을 위에 먼저 보여주고, 근거를 아래에서 단계로 확인하는 구조예요.”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1A6E47"/>
          <w:sz w:val="20"/>
          <w:szCs w:val="20"/>
        </w:rPr>
        <w:t xml:space="preserve">▸ ① 상단 — 종합 결론(스코어카드)</w:t>
      </w:r>
    </w:p>
    <w:p>
      <w:pPr>
        <w:spacing w:after="11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“상단엔 종합 결론이 있습니다. 기업 성격·신뢰도, 그리고 동종 대비 고평가·저평가를 가치 미터로 표시하고, 한 줄 코멘트로 요약합니다.”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1A6E47"/>
          <w:sz w:val="20"/>
          <w:szCs w:val="20"/>
        </w:rPr>
        <w:t xml:space="preserve">▸ ② 상대가치(동종 비교)</w:t>
      </w:r>
    </w:p>
    <w:p>
      <w:pPr>
        <w:spacing w:after="11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“아래로 내리면 첫 근거, 상대가치입니다. 이익 기준(PER·EV/EBITDA)을 신뢰도 높은 지표로, 자산·매출 기준은 참고로 구분했어요.”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1A6E47"/>
          <w:sz w:val="20"/>
          <w:szCs w:val="20"/>
        </w:rPr>
        <w:t xml:space="preserve">▸ ③ 피어기업</w:t>
      </w:r>
    </w:p>
    <w:p>
      <w:pPr>
        <w:spacing w:after="11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“비교에 쓴 회사를 그대로 공개하고 A~E 신뢰도 등급을 함께 줍니다. 이질적 기업이 섞이면 화면이 안내하니, 등급과 목록을 같이 보세요.”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1A6E47"/>
          <w:sz w:val="20"/>
          <w:szCs w:val="20"/>
        </w:rPr>
        <w:t xml:space="preserve">▸ ④ 절대가치(DCF)</w:t>
      </w:r>
    </w:p>
    <w:p>
      <w:pPr>
        <w:spacing w:after="11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“동종과 무관한 회사 자체 값, DCF입니다. 가정 편차가 있어 참고 지표로 범위 제시하고, 핵심은 시장 기대 성장률 — 3%를 크게 넘으면 고평가, 밑돌면 저평가입니다.”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1A6E47"/>
          <w:sz w:val="20"/>
          <w:szCs w:val="20"/>
        </w:rPr>
        <w:t xml:space="preserve">▸ ⑤ 후속 동선 · ⑥ 한계</w:t>
      </w:r>
    </w:p>
    <w:p>
      <w:pPr>
        <w:spacing w:after="11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“이어 과거 실적·재무 건전성·뉴스는 기업분석 탭, 추가 질문은 AI 챗봇 탭으로 연결됩니다. 마지막으로 ‘참고용이며 상승·하락을 보장하지 않는다’는 유의사항을 명시합니다.”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1A6E47"/>
          <w:sz w:val="20"/>
          <w:szCs w:val="20"/>
        </w:rPr>
        <w:t xml:space="preserve">▸ 마무리</w:t>
      </w:r>
    </w:p>
    <w:p>
      <w:pPr>
        <w:spacing w:after="11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2430"/>
          <w:sz w:val="21"/>
          <w:szCs w:val="21"/>
        </w:rPr>
        <w:t xml:space="preserve">“요약하면 종합 결론에서 출발해 상대가치·피어·절대가치·후속 동선·한계 순입니다. 절대 1 + 상대 3을 교차검증하되, 신뢰도가 낮으면 수치를 제한해 과신을 막습니다.”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2026-06-19T20:59:05.830Z</dcterms:created>
  <dcterms:modified xsi:type="dcterms:W3CDTF">2026-06-19T20:59:05.831Z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