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XYZ Labs Audit 05 - Knowledge Architecture</w:t>
      </w:r>
    </w:p>
    <w:p>
      <w:pPr>
        <w:jc w:val="center"/>
      </w:pPr>
      <w:r>
        <w:rPr>
          <w:b/>
          <w:sz w:val="18"/>
        </w:rPr>
        <w:t>University Partnership / Research Program | EILA OS V3 Decision Graph Runtime</w:t>
      </w:r>
    </w:p>
    <w:p>
      <w:pPr>
        <w:jc w:val="center"/>
      </w:pPr>
      <w:r>
        <w:rPr>
          <w:i/>
          <w:sz w:val="16"/>
        </w:rPr>
        <w:t>Mode: technical audit, research framing, runtime evidence, graph-card examples</w:t>
      </w:r>
    </w:p>
    <w:p>
      <w:pPr>
        <w:jc w:val="center"/>
      </w:pPr>
      <w:r>
        <w:drawing>
          <wp:inline xmlns:a="http://schemas.openxmlformats.org/drawingml/2006/main" xmlns:pic="http://schemas.openxmlformats.org/drawingml/2006/picture">
            <wp:extent cx="5394960" cy="4317507"/>
            <wp:docPr id="1" name="Picture 1"/>
            <wp:cNvGraphicFramePr>
              <a:graphicFrameLocks noChangeAspect="1"/>
            </wp:cNvGraphicFramePr>
            <a:graphic>
              <a:graphicData uri="http://schemas.openxmlformats.org/drawingml/2006/picture">
                <pic:pic>
                  <pic:nvPicPr>
                    <pic:cNvPr id="0" name="eilaos.png"/>
                    <pic:cNvPicPr/>
                  </pic:nvPicPr>
                  <pic:blipFill>
                    <a:blip r:embed="rId9"/>
                    <a:stretch>
                      <a:fillRect/>
                    </a:stretch>
                  </pic:blipFill>
                  <pic:spPr>
                    <a:xfrm>
                      <a:off x="0" y="0"/>
                      <a:ext cx="5394960" cy="4317507"/>
                    </a:xfrm>
                    <a:prstGeom prst="rect"/>
                  </pic:spPr>
                </pic:pic>
              </a:graphicData>
            </a:graphic>
          </wp:inline>
        </w:drawing>
      </w:r>
    </w:p>
    <w:p>
      <w:pPr>
        <w:jc w:val="center"/>
      </w:pPr>
      <w:r>
        <w:rPr>
          <w:i/>
          <w:color w:val="4B5563"/>
          <w:sz w:val="14"/>
        </w:rPr>
        <w:t>EILA OS visual identity: oversight, intelligence, control. Used here as the research-facing controller layer.</w:t>
      </w:r>
    </w:p>
    <w:p>
      <w:pPr>
        <w:pStyle w:val="Heading1"/>
        <w:jc w:val="left"/>
      </w:pPr>
      <w:r>
        <w:rPr>
          <w:b/>
          <w:color w:val="1F4E79"/>
        </w:rPr>
        <w:t>1. Executive Summary</w:t>
      </w:r>
    </w:p>
    <w:p>
      <w:pPr>
        <w:pStyle w:val="ListBullet"/>
        <w:spacing w:after="20"/>
      </w:pPr>
      <w:r>
        <w:rPr>
          <w:sz w:val="17"/>
        </w:rPr>
        <w:t>This audit documents the knowledge architecture behind the EILA OS V3 / General Chaos V2 runtime: a Cloudflare-native decision graph that records runs, nodes, aliases, edges, events, notes, scores, confidence, and exportable mapping cards.</w:t>
      </w:r>
    </w:p>
    <w:p>
      <w:pPr>
        <w:pStyle w:val="ListBullet"/>
        <w:spacing w:after="20"/>
      </w:pPr>
      <w:r>
        <w:rPr>
          <w:sz w:val="17"/>
        </w:rPr>
        <w:t>The important IP is not only the agents. The important layer is the observable knowledge substrate: every decision branch can be named, obfuscated, scored, persisted, exported, studied, and reused.</w:t>
      </w:r>
    </w:p>
    <w:p>
      <w:pPr>
        <w:pStyle w:val="ListBullet"/>
        <w:spacing w:after="20"/>
      </w:pPr>
      <w:r>
        <w:rPr>
          <w:sz w:val="17"/>
        </w:rPr>
        <w:t>For a university partnership, this becomes a controlled research platform where students can run bounded objectives, observe agent decisions, inspect graph cards, evaluate routing policies, and compare runtime behavior across prompt, branch, and verifier changes.</w:t>
      </w:r>
    </w:p>
    <w:tbl>
      <w:tblPr>
        <w:tblStyle w:val="TableGrid"/>
        <w:tblW w:type="auto" w:w="0"/>
        <w:jc w:val="center"/>
        <w:tblLook w:firstColumn="1" w:firstRow="1" w:lastColumn="0" w:lastRow="0" w:noHBand="0" w:noVBand="1" w:val="04A0"/>
      </w:tblPr>
      <w:tblGrid>
        <w:gridCol w:w="3552"/>
        <w:gridCol w:w="3552"/>
        <w:gridCol w:w="3552"/>
      </w:tblGrid>
      <w:tr>
        <w:tc>
          <w:tcPr>
            <w:tcW w:type="dxa" w:w="1944"/>
            <w:vAlign w:val="center"/>
            <w:shd w:fill="1F4E79"/>
          </w:tcPr>
          <w:p>
            <w:r/>
            <w:r>
              <w:rPr>
                <w:rFonts w:ascii="Calibri" w:hAnsi="Calibri"/>
                <w:b/>
                <w:color w:val="FFFFFF"/>
                <w:sz w:val="14"/>
              </w:rPr>
              <w:t>Audit Claim</w:t>
            </w:r>
          </w:p>
        </w:tc>
        <w:tc>
          <w:tcPr>
            <w:tcW w:type="dxa" w:w="3600"/>
            <w:vAlign w:val="center"/>
            <w:shd w:fill="1F4E79"/>
          </w:tcPr>
          <w:p>
            <w:r/>
            <w:r>
              <w:rPr>
                <w:rFonts w:ascii="Calibri" w:hAnsi="Calibri"/>
                <w:b/>
                <w:color w:val="FFFFFF"/>
                <w:sz w:val="14"/>
              </w:rPr>
              <w:t>Evidence Observed</w:t>
            </w:r>
          </w:p>
        </w:tc>
        <w:tc>
          <w:tcPr>
            <w:tcW w:type="dxa" w:w="3960"/>
            <w:vAlign w:val="center"/>
            <w:shd w:fill="1F4E79"/>
          </w:tcPr>
          <w:p>
            <w:r/>
            <w:r>
              <w:rPr>
                <w:rFonts w:ascii="Calibri" w:hAnsi="Calibri"/>
                <w:b/>
                <w:color w:val="FFFFFF"/>
                <w:sz w:val="14"/>
              </w:rPr>
              <w:t>Research Value</w:t>
            </w:r>
          </w:p>
        </w:tc>
      </w:tr>
      <w:tr>
        <w:tc>
          <w:tcPr>
            <w:tcW w:type="dxa" w:w="1944"/>
            <w:vAlign w:val="center"/>
            <w:shd w:fill="F8FBFD"/>
          </w:tcPr>
          <w:p>
            <w:r/>
            <w:r>
              <w:rPr>
                <w:rFonts w:ascii="Calibri" w:hAnsi="Calibri"/>
                <w:b w:val="0"/>
                <w:sz w:val="14"/>
              </w:rPr>
              <w:t>Callable runtime</w:t>
            </w:r>
          </w:p>
        </w:tc>
        <w:tc>
          <w:tcPr>
            <w:tcW w:type="dxa" w:w="3600"/>
            <w:vAlign w:val="center"/>
            <w:shd w:fill="F8FBFD"/>
          </w:tcPr>
          <w:p>
            <w:r/>
            <w:r>
              <w:rPr>
                <w:rFonts w:ascii="Calibri" w:hAnsi="Calibri"/>
                <w:b w:val="0"/>
                <w:sz w:val="14"/>
              </w:rPr>
              <w:t>Cloudflare Worker URLs, service bindings, queue consumers, Durable Objects</w:t>
            </w:r>
          </w:p>
        </w:tc>
        <w:tc>
          <w:tcPr>
            <w:tcW w:type="dxa" w:w="3960"/>
            <w:vAlign w:val="center"/>
            <w:shd w:fill="F8FBFD"/>
          </w:tcPr>
          <w:p>
            <w:r/>
            <w:r>
              <w:rPr>
                <w:rFonts w:ascii="Calibri" w:hAnsi="Calibri"/>
                <w:b w:val="0"/>
                <w:sz w:val="14"/>
              </w:rPr>
              <w:t>Can execute repeatable run workflows without shipping a full monolith.</w:t>
            </w:r>
          </w:p>
        </w:tc>
      </w:tr>
      <w:tr>
        <w:tc>
          <w:tcPr>
            <w:tcW w:type="dxa" w:w="1944"/>
            <w:vAlign w:val="center"/>
          </w:tcPr>
          <w:p>
            <w:r/>
            <w:r>
              <w:rPr>
                <w:rFonts w:ascii="Calibri" w:hAnsi="Calibri"/>
                <w:b w:val="0"/>
                <w:sz w:val="14"/>
              </w:rPr>
              <w:t>Knowledge graph</w:t>
            </w:r>
          </w:p>
        </w:tc>
        <w:tc>
          <w:tcPr>
            <w:tcW w:type="dxa" w:w="3600"/>
            <w:vAlign w:val="center"/>
          </w:tcPr>
          <w:p>
            <w:r/>
            <w:r>
              <w:rPr>
                <w:rFonts w:ascii="Calibri" w:hAnsi="Calibri"/>
                <w:b w:val="0"/>
                <w:sz w:val="14"/>
              </w:rPr>
              <w:t>D1 tables: runs, nodes, mapping_cards, card_notes, graph_edges, events, aliases</w:t>
            </w:r>
          </w:p>
        </w:tc>
        <w:tc>
          <w:tcPr>
            <w:tcW w:type="dxa" w:w="3960"/>
            <w:vAlign w:val="center"/>
          </w:tcPr>
          <w:p>
            <w:r/>
            <w:r>
              <w:rPr>
                <w:rFonts w:ascii="Calibri" w:hAnsi="Calibri"/>
                <w:b w:val="0"/>
                <w:sz w:val="14"/>
              </w:rPr>
              <w:t>Makes agent behavior inspectable and exportable for experiments.</w:t>
            </w:r>
          </w:p>
        </w:tc>
      </w:tr>
      <w:tr>
        <w:tc>
          <w:tcPr>
            <w:tcW w:type="dxa" w:w="1944"/>
            <w:vAlign w:val="center"/>
            <w:shd w:fill="F8FBFD"/>
          </w:tcPr>
          <w:p>
            <w:r/>
            <w:r>
              <w:rPr>
                <w:rFonts w:ascii="Calibri" w:hAnsi="Calibri"/>
                <w:b w:val="0"/>
                <w:sz w:val="14"/>
              </w:rPr>
              <w:t>Obfuscated version mapping</w:t>
            </w:r>
          </w:p>
        </w:tc>
        <w:tc>
          <w:tcPr>
            <w:tcW w:type="dxa" w:w="3600"/>
            <w:vAlign w:val="center"/>
            <w:shd w:fill="F8FBFD"/>
          </w:tcPr>
          <w:p>
            <w:r/>
            <w:r>
              <w:rPr>
                <w:rFonts w:ascii="Calibri" w:hAnsi="Calibri"/>
                <w:b w:val="0"/>
                <w:sz w:val="14"/>
              </w:rPr>
              <w:t>alias_name + canonical_name_encrypted with AES-GCM mapping secret</w:t>
            </w:r>
          </w:p>
        </w:tc>
        <w:tc>
          <w:tcPr>
            <w:tcW w:type="dxa" w:w="3960"/>
            <w:vAlign w:val="center"/>
            <w:shd w:fill="F8FBFD"/>
          </w:tcPr>
          <w:p>
            <w:r/>
            <w:r>
              <w:rPr>
                <w:rFonts w:ascii="Calibri" w:hAnsi="Calibri"/>
                <w:b w:val="0"/>
                <w:sz w:val="14"/>
              </w:rPr>
              <w:t>Public-safe IDs while preserving private canonical architecture.</w:t>
            </w:r>
          </w:p>
        </w:tc>
      </w:tr>
      <w:tr>
        <w:tc>
          <w:tcPr>
            <w:tcW w:type="dxa" w:w="1944"/>
            <w:vAlign w:val="center"/>
          </w:tcPr>
          <w:p>
            <w:r/>
            <w:r>
              <w:rPr>
                <w:rFonts w:ascii="Calibri" w:hAnsi="Calibri"/>
                <w:b w:val="0"/>
                <w:sz w:val="14"/>
              </w:rPr>
              <w:t>Verification loop</w:t>
            </w:r>
          </w:p>
        </w:tc>
        <w:tc>
          <w:tcPr>
            <w:tcW w:type="dxa" w:w="3600"/>
            <w:vAlign w:val="center"/>
          </w:tcPr>
          <w:p>
            <w:r/>
            <w:r>
              <w:rPr>
                <w:rFonts w:ascii="Calibri" w:hAnsi="Calibri"/>
                <w:b w:val="0"/>
                <w:sz w:val="14"/>
              </w:rPr>
              <w:t>Agent Smith / Judge Judy scoring + General Disarray compliance gate</w:t>
            </w:r>
          </w:p>
        </w:tc>
        <w:tc>
          <w:tcPr>
            <w:tcW w:type="dxa" w:w="3960"/>
            <w:vAlign w:val="center"/>
          </w:tcPr>
          <w:p>
            <w:r/>
            <w:r>
              <w:rPr>
                <w:rFonts w:ascii="Calibri" w:hAnsi="Calibri"/>
                <w:b w:val="0"/>
                <w:sz w:val="14"/>
              </w:rPr>
              <w:t>Creates measurable outputs: score, confidence, notes, and resolution state.</w:t>
            </w:r>
          </w:p>
        </w:tc>
      </w:tr>
    </w:tbl>
    <w:p>
      <w:pPr>
        <w:pStyle w:val="Heading1"/>
        <w:jc w:val="left"/>
      </w:pPr>
      <w:r>
        <w:rPr>
          <w:b/>
          <w:color w:val="1F4E79"/>
        </w:rPr>
        <w:t>2. Knowledge Runtime Components</w:t>
      </w:r>
    </w:p>
    <w:p>
      <w:pPr>
        <w:pStyle w:val="BodySmall"/>
      </w:pPr>
      <w:r>
        <w:t>The current architecture separates public ingress, coordination, execution, verification, compliance, persistence, and export. This is why it should be described as a runtime instead of a single bot: the parts are callable, replaceable, and bound through Cloudflare primitives.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224"/>
            <w:vAlign w:val="center"/>
            <w:shd w:fill="1F4E79"/>
          </w:tcPr>
          <w:p>
            <w:r/>
            <w:r>
              <w:rPr>
                <w:rFonts w:ascii="Calibri" w:hAnsi="Calibri"/>
                <w:b/>
                <w:color w:val="FFFFFF"/>
                <w:sz w:val="13"/>
              </w:rPr>
              <w:t>Layer</w:t>
            </w:r>
          </w:p>
        </w:tc>
        <w:tc>
          <w:tcPr>
            <w:tcW w:type="dxa" w:w="2016"/>
            <w:vAlign w:val="center"/>
            <w:shd w:fill="1F4E79"/>
          </w:tcPr>
          <w:p>
            <w:r/>
            <w:r>
              <w:rPr>
                <w:rFonts w:ascii="Calibri" w:hAnsi="Calibri"/>
                <w:b/>
                <w:color w:val="FFFFFF"/>
                <w:sz w:val="13"/>
              </w:rPr>
              <w:t>Component / Role</w:t>
            </w:r>
          </w:p>
        </w:tc>
        <w:tc>
          <w:tcPr>
            <w:tcW w:type="dxa" w:w="3240"/>
            <w:vAlign w:val="center"/>
            <w:shd w:fill="1F4E79"/>
          </w:tcPr>
          <w:p>
            <w:r/>
            <w:r>
              <w:rPr>
                <w:rFonts w:ascii="Calibri" w:hAnsi="Calibri"/>
                <w:b/>
                <w:color w:val="FFFFFF"/>
                <w:sz w:val="13"/>
              </w:rPr>
              <w:t>Observed Function</w:t>
            </w:r>
          </w:p>
        </w:tc>
        <w:tc>
          <w:tcPr>
            <w:tcW w:type="dxa" w:w="3024"/>
            <w:vAlign w:val="center"/>
            <w:shd w:fill="1F4E79"/>
          </w:tcPr>
          <w:p>
            <w:r/>
            <w:r>
              <w:rPr>
                <w:rFonts w:ascii="Calibri" w:hAnsi="Calibri"/>
                <w:b/>
                <w:color w:val="FFFFFF"/>
                <w:sz w:val="13"/>
              </w:rPr>
              <w:t>Reason It Matters</w:t>
            </w:r>
          </w:p>
        </w:tc>
      </w:tr>
      <w:tr>
        <w:tc>
          <w:tcPr>
            <w:tcW w:type="dxa" w:w="1224"/>
            <w:vAlign w:val="center"/>
            <w:shd w:fill="F8FBFD"/>
          </w:tcPr>
          <w:p>
            <w:r/>
            <w:r>
              <w:rPr>
                <w:rFonts w:ascii="Calibri" w:hAnsi="Calibri"/>
                <w:b w:val="0"/>
                <w:sz w:val="13"/>
              </w:rPr>
              <w:t>Ingress</w:t>
            </w:r>
          </w:p>
        </w:tc>
        <w:tc>
          <w:tcPr>
            <w:tcW w:type="dxa" w:w="2016"/>
            <w:vAlign w:val="center"/>
            <w:shd w:fill="F8FBFD"/>
          </w:tcPr>
          <w:p>
            <w:r/>
            <w:r>
              <w:rPr>
                <w:rFonts w:ascii="Calibri" w:hAnsi="Calibri"/>
                <w:b w:val="0"/>
                <w:sz w:val="13"/>
              </w:rPr>
              <w:t>General Chaos public worker</w:t>
            </w:r>
          </w:p>
        </w:tc>
        <w:tc>
          <w:tcPr>
            <w:tcW w:type="dxa" w:w="3240"/>
            <w:vAlign w:val="center"/>
            <w:shd w:fill="F8FBFD"/>
          </w:tcPr>
          <w:p>
            <w:r/>
            <w:r>
              <w:rPr>
                <w:rFonts w:ascii="Calibri" w:hAnsi="Calibri"/>
                <w:b w:val="0"/>
                <w:sz w:val="13"/>
              </w:rPr>
              <w:t>Accepts POST /v3/runs or /v2/runs style run requests and routes to a coordinator.</w:t>
            </w:r>
          </w:p>
        </w:tc>
        <w:tc>
          <w:tcPr>
            <w:tcW w:type="dxa" w:w="3024"/>
            <w:vAlign w:val="center"/>
            <w:shd w:fill="F8FBFD"/>
          </w:tcPr>
          <w:p>
            <w:r/>
            <w:r>
              <w:rPr>
                <w:rFonts w:ascii="Calibri" w:hAnsi="Calibri"/>
                <w:b w:val="0"/>
                <w:sz w:val="13"/>
              </w:rPr>
              <w:t>Defines a stable external contract for demos, dashboards, and partner systems.</w:t>
            </w:r>
          </w:p>
        </w:tc>
      </w:tr>
      <w:tr>
        <w:tc>
          <w:tcPr>
            <w:tcW w:type="dxa" w:w="1224"/>
            <w:vAlign w:val="center"/>
          </w:tcPr>
          <w:p>
            <w:r/>
            <w:r>
              <w:rPr>
                <w:rFonts w:ascii="Calibri" w:hAnsi="Calibri"/>
                <w:b w:val="0"/>
                <w:sz w:val="13"/>
              </w:rPr>
              <w:t>Composition</w:t>
            </w:r>
          </w:p>
        </w:tc>
        <w:tc>
          <w:tcPr>
            <w:tcW w:type="dxa" w:w="2016"/>
            <w:vAlign w:val="center"/>
          </w:tcPr>
          <w:p>
            <w:r/>
            <w:r>
              <w:rPr>
                <w:rFonts w:ascii="Calibri" w:hAnsi="Calibri"/>
                <w:b w:val="0"/>
                <w:sz w:val="13"/>
              </w:rPr>
              <w:t>Agent K / task factory</w:t>
            </w:r>
          </w:p>
        </w:tc>
        <w:tc>
          <w:tcPr>
            <w:tcW w:type="dxa" w:w="3240"/>
            <w:vAlign w:val="center"/>
          </w:tcPr>
          <w:p>
            <w:r/>
            <w:r>
              <w:rPr>
                <w:rFonts w:ascii="Calibri" w:hAnsi="Calibri"/>
                <w:b w:val="0"/>
                <w:sz w:val="13"/>
              </w:rPr>
              <w:t>Creates approved branch tasks with aliases, canonical names, worker roles, branch keys, model name, and objective.</w:t>
            </w:r>
          </w:p>
        </w:tc>
        <w:tc>
          <w:tcPr>
            <w:tcW w:type="dxa" w:w="3024"/>
            <w:vAlign w:val="center"/>
          </w:tcPr>
          <w:p>
            <w:r/>
            <w:r>
              <w:rPr>
                <w:rFonts w:ascii="Calibri" w:hAnsi="Calibri"/>
                <w:b w:val="0"/>
                <w:sz w:val="13"/>
              </w:rPr>
              <w:t>Turns intent into traceable graph nodes rather than loose prompt calls.</w:t>
            </w:r>
          </w:p>
        </w:tc>
      </w:tr>
      <w:tr>
        <w:tc>
          <w:tcPr>
            <w:tcW w:type="dxa" w:w="1224"/>
            <w:vAlign w:val="center"/>
            <w:shd w:fill="F8FBFD"/>
          </w:tcPr>
          <w:p>
            <w:r/>
            <w:r>
              <w:rPr>
                <w:rFonts w:ascii="Calibri" w:hAnsi="Calibri"/>
                <w:b w:val="0"/>
                <w:sz w:val="13"/>
              </w:rPr>
              <w:t>State authority</w:t>
            </w:r>
          </w:p>
        </w:tc>
        <w:tc>
          <w:tcPr>
            <w:tcW w:type="dxa" w:w="2016"/>
            <w:vAlign w:val="center"/>
            <w:shd w:fill="F8FBFD"/>
          </w:tcPr>
          <w:p>
            <w:r/>
            <w:r>
              <w:rPr>
                <w:rFonts w:ascii="Calibri" w:hAnsi="Calibri"/>
                <w:b w:val="0"/>
                <w:sz w:val="13"/>
              </w:rPr>
              <w:t>RunCoordinator Durable Object</w:t>
            </w:r>
          </w:p>
        </w:tc>
        <w:tc>
          <w:tcPr>
            <w:tcW w:type="dxa" w:w="3240"/>
            <w:vAlign w:val="center"/>
            <w:shd w:fill="F8FBFD"/>
          </w:tcPr>
          <w:p>
            <w:r/>
            <w:r>
              <w:rPr>
                <w:rFonts w:ascii="Calibri" w:hAnsi="Calibri"/>
                <w:b w:val="0"/>
                <w:sz w:val="13"/>
              </w:rPr>
              <w:t>Owns canonical writes for runs, nodes, edges, events, aliases, mapping cards, and notes.</w:t>
            </w:r>
          </w:p>
        </w:tc>
        <w:tc>
          <w:tcPr>
            <w:tcW w:type="dxa" w:w="3024"/>
            <w:vAlign w:val="center"/>
            <w:shd w:fill="F8FBFD"/>
          </w:tcPr>
          <w:p>
            <w:r/>
            <w:r>
              <w:rPr>
                <w:rFonts w:ascii="Calibri" w:hAnsi="Calibri"/>
                <w:b w:val="0"/>
                <w:sz w:val="13"/>
              </w:rPr>
              <w:t>Prevents split-brain state. This is the “one pen writes the ledger” layer.</w:t>
            </w:r>
          </w:p>
        </w:tc>
      </w:tr>
      <w:tr>
        <w:tc>
          <w:tcPr>
            <w:tcW w:type="dxa" w:w="1224"/>
            <w:vAlign w:val="center"/>
          </w:tcPr>
          <w:p>
            <w:r/>
            <w:r>
              <w:rPr>
                <w:rFonts w:ascii="Calibri" w:hAnsi="Calibri"/>
                <w:b w:val="0"/>
                <w:sz w:val="13"/>
              </w:rPr>
              <w:t>Execution</w:t>
            </w:r>
          </w:p>
        </w:tc>
        <w:tc>
          <w:tcPr>
            <w:tcW w:type="dxa" w:w="2016"/>
            <w:vAlign w:val="center"/>
          </w:tcPr>
          <w:p>
            <w:r/>
            <w:r>
              <w:rPr>
                <w:rFonts w:ascii="Calibri" w:hAnsi="Calibri"/>
                <w:b w:val="0"/>
                <w:sz w:val="13"/>
              </w:rPr>
              <w:t>Azrael / queue runner</w:t>
            </w:r>
          </w:p>
        </w:tc>
        <w:tc>
          <w:tcPr>
            <w:tcW w:type="dxa" w:w="3240"/>
            <w:vAlign w:val="center"/>
          </w:tcPr>
          <w:p>
            <w:r/>
            <w:r>
              <w:rPr>
                <w:rFonts w:ascii="Calibri" w:hAnsi="Calibri"/>
                <w:b w:val="0"/>
                <w:sz w:val="13"/>
              </w:rPr>
              <w:t>Executes dispatched tasks through MODEL_ENDPOINT when present; otherwise produces fallback execution result.</w:t>
            </w:r>
          </w:p>
        </w:tc>
        <w:tc>
          <w:tcPr>
            <w:tcW w:type="dxa" w:w="3024"/>
            <w:vAlign w:val="center"/>
          </w:tcPr>
          <w:p>
            <w:r/>
            <w:r>
              <w:rPr>
                <w:rFonts w:ascii="Calibri" w:hAnsi="Calibri"/>
                <w:b w:val="0"/>
                <w:sz w:val="13"/>
              </w:rPr>
              <w:t>Allows local model, API model, or deterministic stub execution behind one envelope.</w:t>
            </w:r>
          </w:p>
        </w:tc>
      </w:tr>
      <w:tr>
        <w:tc>
          <w:tcPr>
            <w:tcW w:type="dxa" w:w="1224"/>
            <w:vAlign w:val="center"/>
            <w:shd w:fill="F8FBFD"/>
          </w:tcPr>
          <w:p>
            <w:r/>
            <w:r>
              <w:rPr>
                <w:rFonts w:ascii="Calibri" w:hAnsi="Calibri"/>
                <w:b w:val="0"/>
                <w:sz w:val="13"/>
              </w:rPr>
              <w:t>Verification</w:t>
            </w:r>
          </w:p>
        </w:tc>
        <w:tc>
          <w:tcPr>
            <w:tcW w:type="dxa" w:w="2016"/>
            <w:vAlign w:val="center"/>
            <w:shd w:fill="F8FBFD"/>
          </w:tcPr>
          <w:p>
            <w:r/>
            <w:r>
              <w:rPr>
                <w:rFonts w:ascii="Calibri" w:hAnsi="Calibri"/>
                <w:b w:val="0"/>
                <w:sz w:val="13"/>
              </w:rPr>
              <w:t>Judge Judy / Agent Smith</w:t>
            </w:r>
          </w:p>
        </w:tc>
        <w:tc>
          <w:tcPr>
            <w:tcW w:type="dxa" w:w="3240"/>
            <w:vAlign w:val="center"/>
            <w:shd w:fill="F8FBFD"/>
          </w:tcPr>
          <w:p>
            <w:r/>
            <w:r>
              <w:rPr>
                <w:rFonts w:ascii="Calibri" w:hAnsi="Calibri"/>
                <w:b w:val="0"/>
                <w:sz w:val="13"/>
              </w:rPr>
              <w:t>Scores execution results and emits confidence, notes, and status.</w:t>
            </w:r>
          </w:p>
        </w:tc>
        <w:tc>
          <w:tcPr>
            <w:tcW w:type="dxa" w:w="3024"/>
            <w:vAlign w:val="center"/>
            <w:shd w:fill="F8FBFD"/>
          </w:tcPr>
          <w:p>
            <w:r/>
            <w:r>
              <w:rPr>
                <w:rFonts w:ascii="Calibri" w:hAnsi="Calibri"/>
                <w:b w:val="0"/>
                <w:sz w:val="13"/>
              </w:rPr>
              <w:t>Gives each result a measurable trust score before it enters the graph.</w:t>
            </w:r>
          </w:p>
        </w:tc>
      </w:tr>
      <w:tr>
        <w:tc>
          <w:tcPr>
            <w:tcW w:type="dxa" w:w="1224"/>
            <w:vAlign w:val="center"/>
          </w:tcPr>
          <w:p>
            <w:r/>
            <w:r>
              <w:rPr>
                <w:rFonts w:ascii="Calibri" w:hAnsi="Calibri"/>
                <w:b w:val="0"/>
                <w:sz w:val="13"/>
              </w:rPr>
              <w:t>Compliance</w:t>
            </w:r>
          </w:p>
        </w:tc>
        <w:tc>
          <w:tcPr>
            <w:tcW w:type="dxa" w:w="2016"/>
            <w:vAlign w:val="center"/>
          </w:tcPr>
          <w:p>
            <w:r/>
            <w:r>
              <w:rPr>
                <w:rFonts w:ascii="Calibri" w:hAnsi="Calibri"/>
                <w:b w:val="0"/>
                <w:sz w:val="13"/>
              </w:rPr>
              <w:t>General Disarray</w:t>
            </w:r>
          </w:p>
        </w:tc>
        <w:tc>
          <w:tcPr>
            <w:tcW w:type="dxa" w:w="3240"/>
            <w:vAlign w:val="center"/>
          </w:tcPr>
          <w:p>
            <w:r/>
            <w:r>
              <w:rPr>
                <w:rFonts w:ascii="Calibri" w:hAnsi="Calibri"/>
                <w:b w:val="0"/>
                <w:sz w:val="13"/>
              </w:rPr>
              <w:t>Approves or rejects verified output before canonical state is updated.</w:t>
            </w:r>
          </w:p>
        </w:tc>
        <w:tc>
          <w:tcPr>
            <w:tcW w:type="dxa" w:w="3024"/>
            <w:vAlign w:val="center"/>
          </w:tcPr>
          <w:p>
            <w:r/>
            <w:r>
              <w:rPr>
                <w:rFonts w:ascii="Calibri" w:hAnsi="Calibri"/>
                <w:b w:val="0"/>
                <w:sz w:val="13"/>
              </w:rPr>
              <w:t>Allows policy gates, safety gates, and research guardrails.</w:t>
            </w:r>
          </w:p>
        </w:tc>
      </w:tr>
      <w:tr>
        <w:tc>
          <w:tcPr>
            <w:tcW w:type="dxa" w:w="1224"/>
            <w:vAlign w:val="center"/>
            <w:shd w:fill="F8FBFD"/>
          </w:tcPr>
          <w:p>
            <w:r/>
            <w:r>
              <w:rPr>
                <w:rFonts w:ascii="Calibri" w:hAnsi="Calibri"/>
                <w:b w:val="0"/>
                <w:sz w:val="13"/>
              </w:rPr>
              <w:t>Export</w:t>
            </w:r>
          </w:p>
        </w:tc>
        <w:tc>
          <w:tcPr>
            <w:tcW w:type="dxa" w:w="2016"/>
            <w:vAlign w:val="center"/>
            <w:shd w:fill="F8FBFD"/>
          </w:tcPr>
          <w:p>
            <w:r/>
            <w:r>
              <w:rPr>
                <w:rFonts w:ascii="Calibri" w:hAnsi="Calibri"/>
                <w:b w:val="0"/>
                <w:sz w:val="13"/>
              </w:rPr>
              <w:t>Trace Hound</w:t>
            </w:r>
          </w:p>
        </w:tc>
        <w:tc>
          <w:tcPr>
            <w:tcW w:type="dxa" w:w="3240"/>
            <w:vAlign w:val="center"/>
            <w:shd w:fill="F8FBFD"/>
          </w:tcPr>
          <w:p>
            <w:r/>
            <w:r>
              <w:rPr>
                <w:rFonts w:ascii="Calibri" w:hAnsi="Calibri"/>
                <w:b w:val="0"/>
                <w:sz w:val="13"/>
              </w:rPr>
              <w:t>Reads v_mapping_cards_export and returns cards.csv or cards.json.</w:t>
            </w:r>
          </w:p>
        </w:tc>
        <w:tc>
          <w:tcPr>
            <w:tcW w:type="dxa" w:w="3024"/>
            <w:vAlign w:val="center"/>
            <w:shd w:fill="F8FBFD"/>
          </w:tcPr>
          <w:p>
            <w:r/>
            <w:r>
              <w:rPr>
                <w:rFonts w:ascii="Calibri" w:hAnsi="Calibri"/>
                <w:b w:val="0"/>
                <w:sz w:val="13"/>
              </w:rPr>
              <w:t>Turns runtime behavior into portable research artifacts.</w:t>
            </w:r>
          </w:p>
        </w:tc>
      </w:tr>
    </w:tbl>
    <w:p>
      <w:pPr>
        <w:jc w:val="center"/>
      </w:pPr>
      <w:r>
        <w:drawing>
          <wp:inline xmlns:a="http://schemas.openxmlformats.org/drawingml/2006/main" xmlns:pic="http://schemas.openxmlformats.org/drawingml/2006/picture">
            <wp:extent cx="6400800" cy="2240280"/>
            <wp:docPr id="2" name="Picture 2"/>
            <wp:cNvGraphicFramePr>
              <a:graphicFrameLocks noChangeAspect="1"/>
            </wp:cNvGraphicFramePr>
            <a:graphic>
              <a:graphicData uri="http://schemas.openxmlformats.org/drawingml/2006/picture">
                <pic:pic>
                  <pic:nvPicPr>
                    <pic:cNvPr id="0" name="knowledge_workflow_map.png"/>
                    <pic:cNvPicPr/>
                  </pic:nvPicPr>
                  <pic:blipFill>
                    <a:blip r:embed="rId10"/>
                    <a:stretch>
                      <a:fillRect/>
                    </a:stretch>
                  </pic:blipFill>
                  <pic:spPr>
                    <a:xfrm>
                      <a:off x="0" y="0"/>
                      <a:ext cx="6400800" cy="2240280"/>
                    </a:xfrm>
                    <a:prstGeom prst="rect"/>
                  </pic:spPr>
                </pic:pic>
              </a:graphicData>
            </a:graphic>
          </wp:inline>
        </w:drawing>
      </w:r>
    </w:p>
    <w:p>
      <w:pPr>
        <w:pStyle w:val="Heading1"/>
        <w:jc w:val="left"/>
      </w:pPr>
      <w:r>
        <w:rPr>
          <w:b/>
          <w:color w:val="1F4E79"/>
        </w:rPr>
        <w:t>3. Cloudflare Evidence and Binding Map</w:t>
      </w:r>
    </w:p>
    <w:p>
      <w:pPr>
        <w:pStyle w:val="BodySmall"/>
      </w:pPr>
      <w:r>
        <w:t>Screenshots show General Chaos V2, Agent Smith V2, Mothman V2, Trace Hound V2/V3, queues, Durable Objects, and the shared D1 graph database. The V3 freeze shows the same architecture formalized into clearer role ownership: General Chaos, Agent K, The Dude, Azrael, Judge Judy, General Disarray, and Trace Hound.</w:t>
      </w:r>
    </w:p>
    <w:p>
      <w:pPr>
        <w:jc w:val="center"/>
      </w:pPr>
      <w:r>
        <w:drawing>
          <wp:inline xmlns:a="http://schemas.openxmlformats.org/drawingml/2006/main" xmlns:pic="http://schemas.openxmlformats.org/drawingml/2006/picture">
            <wp:extent cx="6217920" cy="3474720"/>
            <wp:docPr id="3" name="Picture 3"/>
            <wp:cNvGraphicFramePr>
              <a:graphicFrameLocks noChangeAspect="1"/>
            </wp:cNvGraphicFramePr>
            <a:graphic>
              <a:graphicData uri="http://schemas.openxmlformats.org/drawingml/2006/picture">
                <pic:pic>
                  <pic:nvPicPr>
                    <pic:cNvPr id="0" name="df0f6b75-d659-4ea7-9881-f419762781b2.png"/>
                    <pic:cNvPicPr/>
                  </pic:nvPicPr>
                  <pic:blipFill>
                    <a:blip r:embed="rId11"/>
                    <a:stretch>
                      <a:fillRect/>
                    </a:stretch>
                  </pic:blipFill>
                  <pic:spPr>
                    <a:xfrm>
                      <a:off x="0" y="0"/>
                      <a:ext cx="6217920" cy="3474720"/>
                    </a:xfrm>
                    <a:prstGeom prst="rect"/>
                  </pic:spPr>
                </pic:pic>
              </a:graphicData>
            </a:graphic>
          </wp:inline>
        </w:drawing>
      </w:r>
    </w:p>
    <w:p>
      <w:pPr>
        <w:jc w:val="center"/>
      </w:pPr>
      <w:r>
        <w:rPr>
          <w:i/>
          <w:color w:val="4B5563"/>
          <w:sz w:val="14"/>
        </w:rPr>
        <w:t>General Chaos V2 overview: service-bound agent cluster, D1 graph DB, queue, and RunCoordinator Durable Object.</w:t>
      </w:r>
    </w:p>
    <w:tbl>
      <w:tblPr>
        <w:tblStyle w:val="TableGrid"/>
        <w:tblW w:type="auto" w:w="0"/>
        <w:jc w:val="center"/>
        <w:tblLook w:firstColumn="1" w:firstRow="1" w:lastColumn="0" w:lastRow="0" w:noHBand="0" w:noVBand="1" w:val="04A0"/>
      </w:tblPr>
      <w:tblGrid>
        <w:gridCol w:w="3552"/>
        <w:gridCol w:w="3552"/>
        <w:gridCol w:w="3552"/>
      </w:tblGrid>
      <w:tr>
        <w:tc>
          <w:tcPr>
            <w:tcW w:type="dxa" w:w="1728"/>
            <w:vAlign w:val="center"/>
            <w:shd w:fill="1F4E79"/>
          </w:tcPr>
          <w:p>
            <w:r/>
            <w:r>
              <w:rPr>
                <w:rFonts w:ascii="Calibri" w:hAnsi="Calibri"/>
                <w:b/>
                <w:color w:val="FFFFFF"/>
                <w:sz w:val="14"/>
              </w:rPr>
              <w:t>Binding / Primitive</w:t>
            </w:r>
          </w:p>
        </w:tc>
        <w:tc>
          <w:tcPr>
            <w:tcW w:type="dxa" w:w="3168"/>
            <w:vAlign w:val="center"/>
            <w:shd w:fill="1F4E79"/>
          </w:tcPr>
          <w:p>
            <w:r/>
            <w:r>
              <w:rPr>
                <w:rFonts w:ascii="Calibri" w:hAnsi="Calibri"/>
                <w:b/>
                <w:color w:val="FFFFFF"/>
                <w:sz w:val="14"/>
              </w:rPr>
              <w:t>Observed Name</w:t>
            </w:r>
          </w:p>
        </w:tc>
        <w:tc>
          <w:tcPr>
            <w:tcW w:type="dxa" w:w="4464"/>
            <w:vAlign w:val="center"/>
            <w:shd w:fill="1F4E79"/>
          </w:tcPr>
          <w:p>
            <w:r/>
            <w:r>
              <w:rPr>
                <w:rFonts w:ascii="Calibri" w:hAnsi="Calibri"/>
                <w:b/>
                <w:color w:val="FFFFFF"/>
                <w:sz w:val="14"/>
              </w:rPr>
              <w:t>Architectural Meaning</w:t>
            </w:r>
          </w:p>
        </w:tc>
      </w:tr>
      <w:tr>
        <w:tc>
          <w:tcPr>
            <w:tcW w:type="dxa" w:w="1728"/>
            <w:vAlign w:val="center"/>
            <w:shd w:fill="F8FBFD"/>
          </w:tcPr>
          <w:p>
            <w:r/>
            <w:r>
              <w:rPr>
                <w:rFonts w:ascii="Calibri" w:hAnsi="Calibri"/>
                <w:b w:val="0"/>
                <w:sz w:val="14"/>
              </w:rPr>
              <w:t>Service binding</w:t>
            </w:r>
          </w:p>
        </w:tc>
        <w:tc>
          <w:tcPr>
            <w:tcW w:type="dxa" w:w="3168"/>
            <w:vAlign w:val="center"/>
            <w:shd w:fill="F8FBFD"/>
          </w:tcPr>
          <w:p>
            <w:r/>
            <w:r>
              <w:rPr>
                <w:rFonts w:ascii="Calibri" w:hAnsi="Calibri"/>
                <w:b w:val="0"/>
                <w:sz w:val="14"/>
              </w:rPr>
              <w:t>AGENT_SMITH -&gt; agent-smith-v2</w:t>
            </w:r>
          </w:p>
        </w:tc>
        <w:tc>
          <w:tcPr>
            <w:tcW w:type="dxa" w:w="4464"/>
            <w:vAlign w:val="center"/>
            <w:shd w:fill="F8FBFD"/>
          </w:tcPr>
          <w:p>
            <w:r/>
            <w:r>
              <w:rPr>
                <w:rFonts w:ascii="Calibri" w:hAnsi="Calibri"/>
                <w:b w:val="0"/>
                <w:sz w:val="14"/>
              </w:rPr>
              <w:t>Verification/scoring service callable from orchestration layer.</w:t>
            </w:r>
          </w:p>
        </w:tc>
      </w:tr>
      <w:tr>
        <w:tc>
          <w:tcPr>
            <w:tcW w:type="dxa" w:w="1728"/>
            <w:vAlign w:val="center"/>
          </w:tcPr>
          <w:p>
            <w:r/>
            <w:r>
              <w:rPr>
                <w:rFonts w:ascii="Calibri" w:hAnsi="Calibri"/>
                <w:b w:val="0"/>
                <w:sz w:val="14"/>
              </w:rPr>
              <w:t>Service binding</w:t>
            </w:r>
          </w:p>
        </w:tc>
        <w:tc>
          <w:tcPr>
            <w:tcW w:type="dxa" w:w="3168"/>
            <w:vAlign w:val="center"/>
          </w:tcPr>
          <w:p>
            <w:r/>
            <w:r>
              <w:rPr>
                <w:rFonts w:ascii="Calibri" w:hAnsi="Calibri"/>
                <w:b w:val="0"/>
                <w:sz w:val="14"/>
              </w:rPr>
              <w:t>MOTHMAN -&gt; mothman-v2</w:t>
            </w:r>
          </w:p>
        </w:tc>
        <w:tc>
          <w:tcPr>
            <w:tcW w:type="dxa" w:w="4464"/>
            <w:vAlign w:val="center"/>
          </w:tcPr>
          <w:p>
            <w:r/>
            <w:r>
              <w:rPr>
                <w:rFonts w:ascii="Calibri" w:hAnsi="Calibri"/>
                <w:b w:val="0"/>
                <w:sz w:val="14"/>
              </w:rPr>
              <w:t>Debug/anomaly note service that appends trace notes then forwards to verifier.</w:t>
            </w:r>
          </w:p>
        </w:tc>
      </w:tr>
      <w:tr>
        <w:tc>
          <w:tcPr>
            <w:tcW w:type="dxa" w:w="1728"/>
            <w:vAlign w:val="center"/>
            <w:shd w:fill="F8FBFD"/>
          </w:tcPr>
          <w:p>
            <w:r/>
            <w:r>
              <w:rPr>
                <w:rFonts w:ascii="Calibri" w:hAnsi="Calibri"/>
                <w:b w:val="0"/>
                <w:sz w:val="14"/>
              </w:rPr>
              <w:t>Service binding</w:t>
            </w:r>
          </w:p>
        </w:tc>
        <w:tc>
          <w:tcPr>
            <w:tcW w:type="dxa" w:w="3168"/>
            <w:vAlign w:val="center"/>
            <w:shd w:fill="F8FBFD"/>
          </w:tcPr>
          <w:p>
            <w:r/>
            <w:r>
              <w:rPr>
                <w:rFonts w:ascii="Calibri" w:hAnsi="Calibri"/>
                <w:b w:val="0"/>
                <w:sz w:val="14"/>
              </w:rPr>
              <w:t>TRACE_HOUND -&gt; trace-hound-v2/v3</w:t>
            </w:r>
          </w:p>
        </w:tc>
        <w:tc>
          <w:tcPr>
            <w:tcW w:type="dxa" w:w="4464"/>
            <w:vAlign w:val="center"/>
            <w:shd w:fill="F8FBFD"/>
          </w:tcPr>
          <w:p>
            <w:r/>
            <w:r>
              <w:rPr>
                <w:rFonts w:ascii="Calibri" w:hAnsi="Calibri"/>
                <w:b w:val="0"/>
                <w:sz w:val="14"/>
              </w:rPr>
              <w:t>Graph export and card retrieval service.</w:t>
            </w:r>
          </w:p>
        </w:tc>
      </w:tr>
      <w:tr>
        <w:tc>
          <w:tcPr>
            <w:tcW w:type="dxa" w:w="1728"/>
            <w:vAlign w:val="center"/>
          </w:tcPr>
          <w:p>
            <w:r/>
            <w:r>
              <w:rPr>
                <w:rFonts w:ascii="Calibri" w:hAnsi="Calibri"/>
                <w:b w:val="0"/>
                <w:sz w:val="14"/>
              </w:rPr>
              <w:t>D1 database</w:t>
            </w:r>
          </w:p>
        </w:tc>
        <w:tc>
          <w:tcPr>
            <w:tcW w:type="dxa" w:w="3168"/>
            <w:vAlign w:val="center"/>
          </w:tcPr>
          <w:p>
            <w:r/>
            <w:r>
              <w:rPr>
                <w:rFonts w:ascii="Calibri" w:hAnsi="Calibri"/>
                <w:b w:val="0"/>
                <w:sz w:val="14"/>
              </w:rPr>
              <w:t>GRAPH_DB -&gt; eila-v2-graph</w:t>
            </w:r>
          </w:p>
        </w:tc>
        <w:tc>
          <w:tcPr>
            <w:tcW w:type="dxa" w:w="4464"/>
            <w:vAlign w:val="center"/>
          </w:tcPr>
          <w:p>
            <w:r/>
            <w:r>
              <w:rPr>
                <w:rFonts w:ascii="Calibri" w:hAnsi="Calibri"/>
                <w:b w:val="0"/>
                <w:sz w:val="14"/>
              </w:rPr>
              <w:t>Structured knowledge store for runs, nodes, cards, events, aliases, notes, and edges.</w:t>
            </w:r>
          </w:p>
        </w:tc>
      </w:tr>
      <w:tr>
        <w:tc>
          <w:tcPr>
            <w:tcW w:type="dxa" w:w="1728"/>
            <w:vAlign w:val="center"/>
            <w:shd w:fill="F8FBFD"/>
          </w:tcPr>
          <w:p>
            <w:r/>
            <w:r>
              <w:rPr>
                <w:rFonts w:ascii="Calibri" w:hAnsi="Calibri"/>
                <w:b w:val="0"/>
                <w:sz w:val="14"/>
              </w:rPr>
              <w:t>Durable Object</w:t>
            </w:r>
          </w:p>
        </w:tc>
        <w:tc>
          <w:tcPr>
            <w:tcW w:type="dxa" w:w="3168"/>
            <w:vAlign w:val="center"/>
            <w:shd w:fill="F8FBFD"/>
          </w:tcPr>
          <w:p>
            <w:r/>
            <w:r>
              <w:rPr>
                <w:rFonts w:ascii="Calibri" w:hAnsi="Calibri"/>
                <w:b w:val="0"/>
                <w:sz w:val="14"/>
              </w:rPr>
              <w:t>RUN_COORDINATOR -&gt; general-chaos-v2_RunCoordinator / eila-os-v3_RunCoordinator</w:t>
            </w:r>
          </w:p>
        </w:tc>
        <w:tc>
          <w:tcPr>
            <w:tcW w:type="dxa" w:w="4464"/>
            <w:vAlign w:val="center"/>
            <w:shd w:fill="F8FBFD"/>
          </w:tcPr>
          <w:p>
            <w:r/>
            <w:r>
              <w:rPr>
                <w:rFonts w:ascii="Calibri" w:hAnsi="Calibri"/>
                <w:b w:val="0"/>
                <w:sz w:val="14"/>
              </w:rPr>
              <w:t>Per-run authority and serialization boundary.</w:t>
            </w:r>
          </w:p>
        </w:tc>
      </w:tr>
      <w:tr>
        <w:tc>
          <w:tcPr>
            <w:tcW w:type="dxa" w:w="1728"/>
            <w:vAlign w:val="center"/>
          </w:tcPr>
          <w:p>
            <w:r/>
            <w:r>
              <w:rPr>
                <w:rFonts w:ascii="Calibri" w:hAnsi="Calibri"/>
                <w:b w:val="0"/>
                <w:sz w:val="14"/>
              </w:rPr>
              <w:t>Queue</w:t>
            </w:r>
          </w:p>
        </w:tc>
        <w:tc>
          <w:tcPr>
            <w:tcW w:type="dxa" w:w="3168"/>
            <w:vAlign w:val="center"/>
          </w:tcPr>
          <w:p>
            <w:r/>
            <w:r>
              <w:rPr>
                <w:rFonts w:ascii="Calibri" w:hAnsi="Calibri"/>
                <w:b w:val="0"/>
                <w:sz w:val="14"/>
              </w:rPr>
              <w:t>TASK_QUEUE -&gt; eila-os-v2-tasks / eila-os-v3-tasks</w:t>
            </w:r>
          </w:p>
        </w:tc>
        <w:tc>
          <w:tcPr>
            <w:tcW w:type="dxa" w:w="4464"/>
            <w:vAlign w:val="center"/>
          </w:tcPr>
          <w:p>
            <w:r/>
            <w:r>
              <w:rPr>
                <w:rFonts w:ascii="Calibri" w:hAnsi="Calibri"/>
                <w:b w:val="0"/>
                <w:sz w:val="14"/>
              </w:rPr>
              <w:t>Async task bus between composition, execution, and verification.</w:t>
            </w:r>
          </w:p>
        </w:tc>
      </w:tr>
    </w:tbl>
    <w:p>
      <w:pPr>
        <w:pStyle w:val="Heading1"/>
        <w:jc w:val="left"/>
      </w:pPr>
      <w:r>
        <w:rPr>
          <w:b/>
          <w:color w:val="1F4E79"/>
        </w:rPr>
        <w:t>4. D1 Knowledge Graph Data Model</w:t>
      </w:r>
    </w:p>
    <w:p>
      <w:pPr>
        <w:jc w:val="center"/>
      </w:pPr>
      <w:r>
        <w:drawing>
          <wp:inline xmlns:a="http://schemas.openxmlformats.org/drawingml/2006/main" xmlns:pic="http://schemas.openxmlformats.org/drawingml/2006/picture">
            <wp:extent cx="6217920" cy="3564413"/>
            <wp:docPr id="4" name="Picture 4"/>
            <wp:cNvGraphicFramePr>
              <a:graphicFrameLocks noChangeAspect="1"/>
            </wp:cNvGraphicFramePr>
            <a:graphic>
              <a:graphicData uri="http://schemas.openxmlformats.org/drawingml/2006/picture">
                <pic:pic>
                  <pic:nvPicPr>
                    <pic:cNvPr id="0" name="8e0da938-2e91-4e3a-8df3-1f698c842917.png"/>
                    <pic:cNvPicPr/>
                  </pic:nvPicPr>
                  <pic:blipFill>
                    <a:blip r:embed="rId12"/>
                    <a:stretch>
                      <a:fillRect/>
                    </a:stretch>
                  </pic:blipFill>
                  <pic:spPr>
                    <a:xfrm>
                      <a:off x="0" y="0"/>
                      <a:ext cx="6217920" cy="3564413"/>
                    </a:xfrm>
                    <a:prstGeom prst="rect"/>
                  </pic:spPr>
                </pic:pic>
              </a:graphicData>
            </a:graphic>
          </wp:inline>
        </w:drawing>
      </w:r>
    </w:p>
    <w:p>
      <w:pPr>
        <w:jc w:val="center"/>
      </w:pPr>
      <w:r>
        <w:rPr>
          <w:i/>
          <w:color w:val="4B5563"/>
          <w:sz w:val="14"/>
        </w:rPr>
        <w:t>Queue binding view: producer + HTTP push feeding eila-os-v2-tasks with General Chaos as consumer.</w:t>
      </w:r>
    </w:p>
    <w:p>
      <w:pPr>
        <w:jc w:val="center"/>
      </w:pPr>
      <w:r>
        <w:drawing>
          <wp:inline xmlns:a="http://schemas.openxmlformats.org/drawingml/2006/main" xmlns:pic="http://schemas.openxmlformats.org/drawingml/2006/picture">
            <wp:extent cx="6217920" cy="3461956"/>
            <wp:docPr id="5" name="Picture 5"/>
            <wp:cNvGraphicFramePr>
              <a:graphicFrameLocks noChangeAspect="1"/>
            </wp:cNvGraphicFramePr>
            <a:graphic>
              <a:graphicData uri="http://schemas.openxmlformats.org/drawingml/2006/picture">
                <pic:pic>
                  <pic:nvPicPr>
                    <pic:cNvPr id="0" name="ef17d8b9-954f-403d-828d-66593ffd4210.png"/>
                    <pic:cNvPicPr/>
                  </pic:nvPicPr>
                  <pic:blipFill>
                    <a:blip r:embed="rId13"/>
                    <a:stretch>
                      <a:fillRect/>
                    </a:stretch>
                  </pic:blipFill>
                  <pic:spPr>
                    <a:xfrm>
                      <a:off x="0" y="0"/>
                      <a:ext cx="6217920" cy="3461956"/>
                    </a:xfrm>
                    <a:prstGeom prst="rect"/>
                  </pic:spPr>
                </pic:pic>
              </a:graphicData>
            </a:graphic>
          </wp:inline>
        </w:drawing>
      </w:r>
    </w:p>
    <w:p>
      <w:pPr>
        <w:jc w:val="center"/>
      </w:pPr>
      <w:r>
        <w:rPr>
          <w:i/>
          <w:color w:val="4B5563"/>
          <w:sz w:val="14"/>
        </w:rPr>
        <w:t>D1 database studio: eila-v2-graph tables visible for aliases, card_notes, events, graph_edges, mapping_cards, nodes, runs, and export view.</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1F4E79"/>
          </w:tcPr>
          <w:p>
            <w:r/>
            <w:r>
              <w:rPr>
                <w:rFonts w:ascii="Calibri" w:hAnsi="Calibri"/>
                <w:b/>
                <w:color w:val="FFFFFF"/>
                <w:sz w:val="13"/>
              </w:rPr>
              <w:t>Table / View</w:t>
            </w:r>
          </w:p>
        </w:tc>
        <w:tc>
          <w:tcPr>
            <w:tcW w:type="dxa" w:w="4320"/>
            <w:vAlign w:val="center"/>
            <w:shd w:fill="1F4E79"/>
          </w:tcPr>
          <w:p>
            <w:r/>
            <w:r>
              <w:rPr>
                <w:rFonts w:ascii="Calibri" w:hAnsi="Calibri"/>
                <w:b/>
                <w:color w:val="FFFFFF"/>
                <w:sz w:val="13"/>
              </w:rPr>
              <w:t>Core Fields</w:t>
            </w:r>
          </w:p>
        </w:tc>
        <w:tc>
          <w:tcPr>
            <w:tcW w:type="dxa" w:w="3456"/>
            <w:vAlign w:val="center"/>
            <w:shd w:fill="1F4E79"/>
          </w:tcPr>
          <w:p>
            <w:r/>
            <w:r>
              <w:rPr>
                <w:rFonts w:ascii="Calibri" w:hAnsi="Calibri"/>
                <w:b/>
                <w:color w:val="FFFFFF"/>
                <w:sz w:val="13"/>
              </w:rPr>
              <w:t>Knowledge Function</w:t>
            </w:r>
          </w:p>
        </w:tc>
      </w:tr>
      <w:tr>
        <w:tc>
          <w:tcPr>
            <w:tcW w:type="dxa" w:w="1872"/>
            <w:vAlign w:val="center"/>
            <w:shd w:fill="F8FBFD"/>
          </w:tcPr>
          <w:p>
            <w:r/>
            <w:r>
              <w:rPr>
                <w:rFonts w:ascii="Calibri" w:hAnsi="Calibri"/>
                <w:b w:val="0"/>
                <w:sz w:val="13"/>
              </w:rPr>
              <w:t>runs</w:t>
            </w:r>
          </w:p>
        </w:tc>
        <w:tc>
          <w:tcPr>
            <w:tcW w:type="dxa" w:w="4320"/>
            <w:vAlign w:val="center"/>
            <w:shd w:fill="F8FBFD"/>
          </w:tcPr>
          <w:p>
            <w:r/>
            <w:r>
              <w:rPr>
                <w:rFonts w:ascii="Calibri" w:hAnsi="Calibri"/>
                <w:b w:val="0"/>
                <w:sz w:val="13"/>
              </w:rPr>
              <w:t>run_id, root_node_id, alias_name, status, objective, created_by, created_at, updated_at</w:t>
            </w:r>
          </w:p>
        </w:tc>
        <w:tc>
          <w:tcPr>
            <w:tcW w:type="dxa" w:w="3456"/>
            <w:vAlign w:val="center"/>
            <w:shd w:fill="F8FBFD"/>
          </w:tcPr>
          <w:p>
            <w:r/>
            <w:r>
              <w:rPr>
                <w:rFonts w:ascii="Calibri" w:hAnsi="Calibri"/>
                <w:b w:val="0"/>
                <w:sz w:val="13"/>
              </w:rPr>
              <w:t>Top-level research episode. One objective creates a traceable run.</w:t>
            </w:r>
          </w:p>
        </w:tc>
      </w:tr>
      <w:tr>
        <w:tc>
          <w:tcPr>
            <w:tcW w:type="dxa" w:w="1872"/>
            <w:vAlign w:val="center"/>
          </w:tcPr>
          <w:p>
            <w:r/>
            <w:r>
              <w:rPr>
                <w:rFonts w:ascii="Calibri" w:hAnsi="Calibri"/>
                <w:b w:val="0"/>
                <w:sz w:val="13"/>
              </w:rPr>
              <w:t>nodes</w:t>
            </w:r>
          </w:p>
        </w:tc>
        <w:tc>
          <w:tcPr>
            <w:tcW w:type="dxa" w:w="4320"/>
            <w:vAlign w:val="center"/>
          </w:tcPr>
          <w:p>
            <w:r/>
            <w:r>
              <w:rPr>
                <w:rFonts w:ascii="Calibri" w:hAnsi="Calibri"/>
                <w:b w:val="0"/>
                <w:sz w:val="13"/>
              </w:rPr>
              <w:t>node_id, run_id, parent_node_id, alias_name, canonical_name_encrypted, worker_name, depth, state, strategy, score, confidence</w:t>
            </w:r>
          </w:p>
        </w:tc>
        <w:tc>
          <w:tcPr>
            <w:tcW w:type="dxa" w:w="3456"/>
            <w:vAlign w:val="center"/>
          </w:tcPr>
          <w:p>
            <w:r/>
            <w:r>
              <w:rPr>
                <w:rFonts w:ascii="Calibri" w:hAnsi="Calibri"/>
                <w:b w:val="0"/>
                <w:sz w:val="13"/>
              </w:rPr>
              <w:t>Primary branch/decision units. Captures what role acted, where it sits in the graph, and how it scored.</w:t>
            </w:r>
          </w:p>
        </w:tc>
      </w:tr>
      <w:tr>
        <w:tc>
          <w:tcPr>
            <w:tcW w:type="dxa" w:w="1872"/>
            <w:vAlign w:val="center"/>
            <w:shd w:fill="F8FBFD"/>
          </w:tcPr>
          <w:p>
            <w:r/>
            <w:r>
              <w:rPr>
                <w:rFonts w:ascii="Calibri" w:hAnsi="Calibri"/>
                <w:b w:val="0"/>
                <w:sz w:val="13"/>
              </w:rPr>
              <w:t>mapping_cards</w:t>
            </w:r>
          </w:p>
        </w:tc>
        <w:tc>
          <w:tcPr>
            <w:tcW w:type="dxa" w:w="4320"/>
            <w:vAlign w:val="center"/>
            <w:shd w:fill="F8FBFD"/>
          </w:tcPr>
          <w:p>
            <w:r/>
            <w:r>
              <w:rPr>
                <w:rFonts w:ascii="Calibri" w:hAnsi="Calibri"/>
                <w:b w:val="0"/>
                <w:sz w:val="13"/>
              </w:rPr>
              <w:t>card_id, run_id, node_id, strategy, input_summary, output_summary, tags_csv, notes, latency_ms, cost_usd</w:t>
            </w:r>
          </w:p>
        </w:tc>
        <w:tc>
          <w:tcPr>
            <w:tcW w:type="dxa" w:w="3456"/>
            <w:vAlign w:val="center"/>
            <w:shd w:fill="F8FBFD"/>
          </w:tcPr>
          <w:p>
            <w:r/>
            <w:r>
              <w:rPr>
                <w:rFonts w:ascii="Calibri" w:hAnsi="Calibri"/>
                <w:b w:val="0"/>
                <w:sz w:val="13"/>
              </w:rPr>
              <w:t>Human-readable research card for each branch. This is the explainability surface.</w:t>
            </w:r>
          </w:p>
        </w:tc>
      </w:tr>
      <w:tr>
        <w:tc>
          <w:tcPr>
            <w:tcW w:type="dxa" w:w="1872"/>
            <w:vAlign w:val="center"/>
          </w:tcPr>
          <w:p>
            <w:r/>
            <w:r>
              <w:rPr>
                <w:rFonts w:ascii="Calibri" w:hAnsi="Calibri"/>
                <w:b w:val="0"/>
                <w:sz w:val="13"/>
              </w:rPr>
              <w:t>card_notes</w:t>
            </w:r>
          </w:p>
        </w:tc>
        <w:tc>
          <w:tcPr>
            <w:tcW w:type="dxa" w:w="4320"/>
            <w:vAlign w:val="center"/>
          </w:tcPr>
          <w:p>
            <w:r/>
            <w:r>
              <w:rPr>
                <w:rFonts w:ascii="Calibri" w:hAnsi="Calibri"/>
                <w:b w:val="0"/>
                <w:sz w:val="13"/>
              </w:rPr>
              <w:t>note_id, run_id, node_id, worker_name, note_type, note_text, created_at</w:t>
            </w:r>
          </w:p>
        </w:tc>
        <w:tc>
          <w:tcPr>
            <w:tcW w:type="dxa" w:w="3456"/>
            <w:vAlign w:val="center"/>
          </w:tcPr>
          <w:p>
            <w:r/>
            <w:r>
              <w:rPr>
                <w:rFonts w:ascii="Calibri" w:hAnsi="Calibri"/>
                <w:b w:val="0"/>
                <w:sz w:val="13"/>
              </w:rPr>
              <w:t>Append-only observations from verifier, debugger, compliance gate, or failure handler.</w:t>
            </w:r>
          </w:p>
        </w:tc>
      </w:tr>
      <w:tr>
        <w:tc>
          <w:tcPr>
            <w:tcW w:type="dxa" w:w="1872"/>
            <w:vAlign w:val="center"/>
            <w:shd w:fill="F8FBFD"/>
          </w:tcPr>
          <w:p>
            <w:r/>
            <w:r>
              <w:rPr>
                <w:rFonts w:ascii="Calibri" w:hAnsi="Calibri"/>
                <w:b w:val="0"/>
                <w:sz w:val="13"/>
              </w:rPr>
              <w:t>graph_edges</w:t>
            </w:r>
          </w:p>
        </w:tc>
        <w:tc>
          <w:tcPr>
            <w:tcW w:type="dxa" w:w="4320"/>
            <w:vAlign w:val="center"/>
            <w:shd w:fill="F8FBFD"/>
          </w:tcPr>
          <w:p>
            <w:r/>
            <w:r>
              <w:rPr>
                <w:rFonts w:ascii="Calibri" w:hAnsi="Calibri"/>
                <w:b w:val="0"/>
                <w:sz w:val="13"/>
              </w:rPr>
              <w:t>edge_id, run_id, from_node_id, to_node_id, edge_type, reason</w:t>
            </w:r>
          </w:p>
        </w:tc>
        <w:tc>
          <w:tcPr>
            <w:tcW w:type="dxa" w:w="3456"/>
            <w:vAlign w:val="center"/>
            <w:shd w:fill="F8FBFD"/>
          </w:tcPr>
          <w:p>
            <w:r/>
            <w:r>
              <w:rPr>
                <w:rFonts w:ascii="Calibri" w:hAnsi="Calibri"/>
                <w:b w:val="0"/>
                <w:sz w:val="13"/>
              </w:rPr>
              <w:t>Relationship map showing spawned branches and causal structure.</w:t>
            </w:r>
          </w:p>
        </w:tc>
      </w:tr>
      <w:tr>
        <w:tc>
          <w:tcPr>
            <w:tcW w:type="dxa" w:w="1872"/>
            <w:vAlign w:val="center"/>
          </w:tcPr>
          <w:p>
            <w:r/>
            <w:r>
              <w:rPr>
                <w:rFonts w:ascii="Calibri" w:hAnsi="Calibri"/>
                <w:b w:val="0"/>
                <w:sz w:val="13"/>
              </w:rPr>
              <w:t>events</w:t>
            </w:r>
          </w:p>
        </w:tc>
        <w:tc>
          <w:tcPr>
            <w:tcW w:type="dxa" w:w="4320"/>
            <w:vAlign w:val="center"/>
          </w:tcPr>
          <w:p>
            <w:r/>
            <w:r>
              <w:rPr>
                <w:rFonts w:ascii="Calibri" w:hAnsi="Calibri"/>
                <w:b w:val="0"/>
                <w:sz w:val="13"/>
              </w:rPr>
              <w:t>event_id, run_id, node_id, event_type, worker_name, payload_json</w:t>
            </w:r>
          </w:p>
        </w:tc>
        <w:tc>
          <w:tcPr>
            <w:tcW w:type="dxa" w:w="3456"/>
            <w:vAlign w:val="center"/>
          </w:tcPr>
          <w:p>
            <w:r/>
            <w:r>
              <w:rPr>
                <w:rFonts w:ascii="Calibri" w:hAnsi="Calibri"/>
                <w:b w:val="0"/>
                <w:sz w:val="13"/>
              </w:rPr>
              <w:t>Runtime telemetry stream for audit replay.</w:t>
            </w:r>
          </w:p>
        </w:tc>
      </w:tr>
      <w:tr>
        <w:tc>
          <w:tcPr>
            <w:tcW w:type="dxa" w:w="1872"/>
            <w:vAlign w:val="center"/>
            <w:shd w:fill="F8FBFD"/>
          </w:tcPr>
          <w:p>
            <w:r/>
            <w:r>
              <w:rPr>
                <w:rFonts w:ascii="Calibri" w:hAnsi="Calibri"/>
                <w:b w:val="0"/>
                <w:sz w:val="13"/>
              </w:rPr>
              <w:t>aliases</w:t>
            </w:r>
          </w:p>
        </w:tc>
        <w:tc>
          <w:tcPr>
            <w:tcW w:type="dxa" w:w="4320"/>
            <w:vAlign w:val="center"/>
            <w:shd w:fill="F8FBFD"/>
          </w:tcPr>
          <w:p>
            <w:r/>
            <w:r>
              <w:rPr>
                <w:rFonts w:ascii="Calibri" w:hAnsi="Calibri"/>
                <w:b w:val="0"/>
                <w:sz w:val="13"/>
              </w:rPr>
              <w:t>alias_name, canonical_name_encrypted, worker_name, active</w:t>
            </w:r>
          </w:p>
        </w:tc>
        <w:tc>
          <w:tcPr>
            <w:tcW w:type="dxa" w:w="3456"/>
            <w:vAlign w:val="center"/>
            <w:shd w:fill="F8FBFD"/>
          </w:tcPr>
          <w:p>
            <w:r/>
            <w:r>
              <w:rPr>
                <w:rFonts w:ascii="Calibri" w:hAnsi="Calibri"/>
                <w:b w:val="0"/>
                <w:sz w:val="13"/>
              </w:rPr>
              <w:t>Public-safe version mapping. Preserves internal meaning without exposing canonical labels.</w:t>
            </w:r>
          </w:p>
        </w:tc>
      </w:tr>
      <w:tr>
        <w:tc>
          <w:tcPr>
            <w:tcW w:type="dxa" w:w="1872"/>
            <w:vAlign w:val="center"/>
          </w:tcPr>
          <w:p>
            <w:r/>
            <w:r>
              <w:rPr>
                <w:rFonts w:ascii="Calibri" w:hAnsi="Calibri"/>
                <w:b w:val="0"/>
                <w:sz w:val="13"/>
              </w:rPr>
              <w:t>v_mapping_cards_export</w:t>
            </w:r>
          </w:p>
        </w:tc>
        <w:tc>
          <w:tcPr>
            <w:tcW w:type="dxa" w:w="4320"/>
            <w:vAlign w:val="center"/>
          </w:tcPr>
          <w:p>
            <w:r/>
            <w:r>
              <w:rPr>
                <w:rFonts w:ascii="Calibri" w:hAnsi="Calibri"/>
                <w:b w:val="0"/>
                <w:sz w:val="13"/>
              </w:rPr>
              <w:t>joined mapping_cards + nodes</w:t>
            </w:r>
          </w:p>
        </w:tc>
        <w:tc>
          <w:tcPr>
            <w:tcW w:type="dxa" w:w="3456"/>
            <w:vAlign w:val="center"/>
          </w:tcPr>
          <w:p>
            <w:r/>
            <w:r>
              <w:rPr>
                <w:rFonts w:ascii="Calibri" w:hAnsi="Calibri"/>
                <w:b w:val="0"/>
                <w:sz w:val="13"/>
              </w:rPr>
              <w:t>Trace Hound export source for cards.csv and cards.json.</w:t>
            </w:r>
          </w:p>
        </w:tc>
      </w:tr>
    </w:tbl>
    <w:p>
      <w:pPr>
        <w:pStyle w:val="Heading1"/>
        <w:jc w:val="left"/>
      </w:pPr>
      <w:r>
        <w:rPr>
          <w:b/>
          <w:color w:val="1F4E79"/>
        </w:rPr>
        <w:t>5. Lang Graph / Mapping Card Specification</w:t>
      </w:r>
    </w:p>
    <w:p>
      <w:pPr>
        <w:pStyle w:val="BodySmall"/>
      </w:pPr>
      <w:r>
        <w:t>A mapping card is the research unit. It is small enough to export as JSON/CSV and rich enough to explain what the agent did, who acted, why a branch exists, and how the verifier scored it.</w:t>
      </w:r>
    </w:p>
    <w:tbl>
      <w:tblPr>
        <w:tblStyle w:val="TableGrid"/>
        <w:tblW w:type="auto" w:w="0"/>
        <w:jc w:val="center"/>
        <w:tblLook w:firstColumn="1" w:firstRow="1" w:lastColumn="0" w:lastRow="0" w:noHBand="0" w:noVBand="1" w:val="04A0"/>
      </w:tblPr>
      <w:tblGrid>
        <w:gridCol w:w="3552"/>
        <w:gridCol w:w="3552"/>
        <w:gridCol w:w="3552"/>
      </w:tblGrid>
      <w:tr>
        <w:tc>
          <w:tcPr>
            <w:tcW w:type="dxa" w:w="1944"/>
            <w:vAlign w:val="center"/>
            <w:shd w:fill="1F4E79"/>
          </w:tcPr>
          <w:p>
            <w:r/>
            <w:r>
              <w:rPr>
                <w:rFonts w:ascii="Calibri" w:hAnsi="Calibri"/>
                <w:b/>
                <w:color w:val="FFFFFF"/>
                <w:sz w:val="14"/>
              </w:rPr>
              <w:t>Card Field</w:t>
            </w:r>
          </w:p>
        </w:tc>
        <w:tc>
          <w:tcPr>
            <w:tcW w:type="dxa" w:w="3096"/>
            <w:vAlign w:val="center"/>
            <w:shd w:fill="1F4E79"/>
          </w:tcPr>
          <w:p>
            <w:r/>
            <w:r>
              <w:rPr>
                <w:rFonts w:ascii="Calibri" w:hAnsi="Calibri"/>
                <w:b/>
                <w:color w:val="FFFFFF"/>
                <w:sz w:val="14"/>
              </w:rPr>
              <w:t>Example</w:t>
            </w:r>
          </w:p>
        </w:tc>
        <w:tc>
          <w:tcPr>
            <w:tcW w:type="dxa" w:w="4464"/>
            <w:vAlign w:val="center"/>
            <w:shd w:fill="1F4E79"/>
          </w:tcPr>
          <w:p>
            <w:r/>
            <w:r>
              <w:rPr>
                <w:rFonts w:ascii="Calibri" w:hAnsi="Calibri"/>
                <w:b/>
                <w:color w:val="FFFFFF"/>
                <w:sz w:val="14"/>
              </w:rPr>
              <w:t>Purpose</w:t>
            </w:r>
          </w:p>
        </w:tc>
      </w:tr>
      <w:tr>
        <w:tc>
          <w:tcPr>
            <w:tcW w:type="dxa" w:w="1944"/>
            <w:vAlign w:val="center"/>
            <w:shd w:fill="F8FBFD"/>
          </w:tcPr>
          <w:p>
            <w:r/>
            <w:r>
              <w:rPr>
                <w:rFonts w:ascii="Calibri" w:hAnsi="Calibri"/>
                <w:b w:val="0"/>
                <w:sz w:val="14"/>
              </w:rPr>
              <w:t>run_id</w:t>
            </w:r>
          </w:p>
        </w:tc>
        <w:tc>
          <w:tcPr>
            <w:tcW w:type="dxa" w:w="3096"/>
            <w:vAlign w:val="center"/>
            <w:shd w:fill="F8FBFD"/>
          </w:tcPr>
          <w:p>
            <w:r/>
            <w:r>
              <w:rPr>
                <w:rFonts w:ascii="Calibri" w:hAnsi="Calibri"/>
                <w:b w:val="0"/>
                <w:sz w:val="14"/>
              </w:rPr>
              <w:t>run_6c449728-23bb-474e-bfac-2aeb56a39f16</w:t>
            </w:r>
          </w:p>
        </w:tc>
        <w:tc>
          <w:tcPr>
            <w:tcW w:type="dxa" w:w="4464"/>
            <w:vAlign w:val="center"/>
            <w:shd w:fill="F8FBFD"/>
          </w:tcPr>
          <w:p>
            <w:r/>
            <w:r>
              <w:rPr>
                <w:rFonts w:ascii="Calibri" w:hAnsi="Calibri"/>
                <w:b w:val="0"/>
                <w:sz w:val="14"/>
              </w:rPr>
              <w:t>Groups all branches under one research episode.</w:t>
            </w:r>
          </w:p>
        </w:tc>
      </w:tr>
      <w:tr>
        <w:tc>
          <w:tcPr>
            <w:tcW w:type="dxa" w:w="1944"/>
            <w:vAlign w:val="center"/>
          </w:tcPr>
          <w:p>
            <w:r/>
            <w:r>
              <w:rPr>
                <w:rFonts w:ascii="Calibri" w:hAnsi="Calibri"/>
                <w:b w:val="0"/>
                <w:sz w:val="14"/>
              </w:rPr>
              <w:t>node_id</w:t>
            </w:r>
          </w:p>
        </w:tc>
        <w:tc>
          <w:tcPr>
            <w:tcW w:type="dxa" w:w="3096"/>
            <w:vAlign w:val="center"/>
          </w:tcPr>
          <w:p>
            <w:r/>
            <w:r>
              <w:rPr>
                <w:rFonts w:ascii="Calibri" w:hAnsi="Calibri"/>
                <w:b w:val="0"/>
                <w:sz w:val="14"/>
              </w:rPr>
              <w:t>node_4e41d8db-4f33-434f-80f7-0a4b36284b38</w:t>
            </w:r>
          </w:p>
        </w:tc>
        <w:tc>
          <w:tcPr>
            <w:tcW w:type="dxa" w:w="4464"/>
            <w:vAlign w:val="center"/>
          </w:tcPr>
          <w:p>
            <w:r/>
            <w:r>
              <w:rPr>
                <w:rFonts w:ascii="Calibri" w:hAnsi="Calibri"/>
                <w:b w:val="0"/>
                <w:sz w:val="14"/>
              </w:rPr>
              <w:t>Unique decision/branch identity.</w:t>
            </w:r>
          </w:p>
        </w:tc>
      </w:tr>
      <w:tr>
        <w:tc>
          <w:tcPr>
            <w:tcW w:type="dxa" w:w="1944"/>
            <w:vAlign w:val="center"/>
            <w:shd w:fill="F8FBFD"/>
          </w:tcPr>
          <w:p>
            <w:r/>
            <w:r>
              <w:rPr>
                <w:rFonts w:ascii="Calibri" w:hAnsi="Calibri"/>
                <w:b w:val="0"/>
                <w:sz w:val="14"/>
              </w:rPr>
              <w:t>alias_name</w:t>
            </w:r>
          </w:p>
        </w:tc>
        <w:tc>
          <w:tcPr>
            <w:tcW w:type="dxa" w:w="3096"/>
            <w:vAlign w:val="center"/>
            <w:shd w:fill="F8FBFD"/>
          </w:tcPr>
          <w:p>
            <w:r/>
            <w:r>
              <w:rPr>
                <w:rFonts w:ascii="Calibri" w:hAnsi="Calibri"/>
                <w:b w:val="0"/>
                <w:sz w:val="14"/>
              </w:rPr>
              <w:t>rcv2_run_..._n000001</w:t>
            </w:r>
          </w:p>
        </w:tc>
        <w:tc>
          <w:tcPr>
            <w:tcW w:type="dxa" w:w="4464"/>
            <w:vAlign w:val="center"/>
            <w:shd w:fill="F8FBFD"/>
          </w:tcPr>
          <w:p>
            <w:r/>
            <w:r>
              <w:rPr>
                <w:rFonts w:ascii="Calibri" w:hAnsi="Calibri"/>
                <w:b w:val="0"/>
                <w:sz w:val="14"/>
              </w:rPr>
              <w:t>Safe public-facing branch handle.</w:t>
            </w:r>
          </w:p>
        </w:tc>
      </w:tr>
      <w:tr>
        <w:tc>
          <w:tcPr>
            <w:tcW w:type="dxa" w:w="1944"/>
            <w:vAlign w:val="center"/>
          </w:tcPr>
          <w:p>
            <w:r/>
            <w:r>
              <w:rPr>
                <w:rFonts w:ascii="Calibri" w:hAnsi="Calibri"/>
                <w:b w:val="0"/>
                <w:sz w:val="14"/>
              </w:rPr>
              <w:t>canonical_name_encrypted</w:t>
            </w:r>
          </w:p>
        </w:tc>
        <w:tc>
          <w:tcPr>
            <w:tcW w:type="dxa" w:w="3096"/>
            <w:vAlign w:val="center"/>
          </w:tcPr>
          <w:p>
            <w:r/>
            <w:r>
              <w:rPr>
                <w:rFonts w:ascii="Calibri" w:hAnsi="Calibri"/>
                <w:b w:val="0"/>
                <w:sz w:val="14"/>
              </w:rPr>
              <w:t>AES-GCM blob</w:t>
            </w:r>
          </w:p>
        </w:tc>
        <w:tc>
          <w:tcPr>
            <w:tcW w:type="dxa" w:w="4464"/>
            <w:vAlign w:val="center"/>
          </w:tcPr>
          <w:p>
            <w:r/>
            <w:r>
              <w:rPr>
                <w:rFonts w:ascii="Calibri" w:hAnsi="Calibri"/>
                <w:b w:val="0"/>
                <w:sz w:val="14"/>
              </w:rPr>
              <w:t>Conceals canonical role/version name while preserving resolvability.</w:t>
            </w:r>
          </w:p>
        </w:tc>
      </w:tr>
      <w:tr>
        <w:tc>
          <w:tcPr>
            <w:tcW w:type="dxa" w:w="1944"/>
            <w:vAlign w:val="center"/>
            <w:shd w:fill="F8FBFD"/>
          </w:tcPr>
          <w:p>
            <w:r/>
            <w:r>
              <w:rPr>
                <w:rFonts w:ascii="Calibri" w:hAnsi="Calibri"/>
                <w:b w:val="0"/>
                <w:sz w:val="14"/>
              </w:rPr>
              <w:t>worker_name</w:t>
            </w:r>
          </w:p>
        </w:tc>
        <w:tc>
          <w:tcPr>
            <w:tcW w:type="dxa" w:w="3096"/>
            <w:vAlign w:val="center"/>
            <w:shd w:fill="F8FBFD"/>
          </w:tcPr>
          <w:p>
            <w:r/>
            <w:r>
              <w:rPr>
                <w:rFonts w:ascii="Calibri" w:hAnsi="Calibri"/>
                <w:b w:val="0"/>
                <w:sz w:val="14"/>
              </w:rPr>
              <w:t>Root Cause / Patch Doctor / Rebuild Forge / Cause Map</w:t>
            </w:r>
          </w:p>
        </w:tc>
        <w:tc>
          <w:tcPr>
            <w:tcW w:type="dxa" w:w="4464"/>
            <w:vAlign w:val="center"/>
            <w:shd w:fill="F8FBFD"/>
          </w:tcPr>
          <w:p>
            <w:r/>
            <w:r>
              <w:rPr>
                <w:rFonts w:ascii="Calibri" w:hAnsi="Calibri"/>
                <w:b w:val="0"/>
                <w:sz w:val="14"/>
              </w:rPr>
              <w:t>Role that owns the branch.</w:t>
            </w:r>
          </w:p>
        </w:tc>
      </w:tr>
      <w:tr>
        <w:tc>
          <w:tcPr>
            <w:tcW w:type="dxa" w:w="1944"/>
            <w:vAlign w:val="center"/>
          </w:tcPr>
          <w:p>
            <w:r/>
            <w:r>
              <w:rPr>
                <w:rFonts w:ascii="Calibri" w:hAnsi="Calibri"/>
                <w:b w:val="0"/>
                <w:sz w:val="14"/>
              </w:rPr>
              <w:t>strategy</w:t>
            </w:r>
          </w:p>
        </w:tc>
        <w:tc>
          <w:tcPr>
            <w:tcW w:type="dxa" w:w="3096"/>
            <w:vAlign w:val="center"/>
          </w:tcPr>
          <w:p>
            <w:r/>
            <w:r>
              <w:rPr>
                <w:rFonts w:ascii="Calibri" w:hAnsi="Calibri"/>
                <w:b w:val="0"/>
                <w:sz w:val="14"/>
              </w:rPr>
              <w:t>ROOT_CAUSE / PATCH / REBUILD / CAUSE_MAP / AZRAEL_EXECUTION</w:t>
            </w:r>
          </w:p>
        </w:tc>
        <w:tc>
          <w:tcPr>
            <w:tcW w:type="dxa" w:w="4464"/>
            <w:vAlign w:val="center"/>
          </w:tcPr>
          <w:p>
            <w:r/>
            <w:r>
              <w:rPr>
                <w:rFonts w:ascii="Calibri" w:hAnsi="Calibri"/>
                <w:b w:val="0"/>
                <w:sz w:val="14"/>
              </w:rPr>
              <w:t>Decision policy used for execution and scoring.</w:t>
            </w:r>
          </w:p>
        </w:tc>
      </w:tr>
      <w:tr>
        <w:tc>
          <w:tcPr>
            <w:tcW w:type="dxa" w:w="1944"/>
            <w:vAlign w:val="center"/>
            <w:shd w:fill="F8FBFD"/>
          </w:tcPr>
          <w:p>
            <w:r/>
            <w:r>
              <w:rPr>
                <w:rFonts w:ascii="Calibri" w:hAnsi="Calibri"/>
                <w:b w:val="0"/>
                <w:sz w:val="14"/>
              </w:rPr>
              <w:t>depth</w:t>
            </w:r>
          </w:p>
        </w:tc>
        <w:tc>
          <w:tcPr>
            <w:tcW w:type="dxa" w:w="3096"/>
            <w:vAlign w:val="center"/>
            <w:shd w:fill="F8FBFD"/>
          </w:tcPr>
          <w:p>
            <w:r/>
            <w:r>
              <w:rPr>
                <w:rFonts w:ascii="Calibri" w:hAnsi="Calibri"/>
                <w:b w:val="0"/>
                <w:sz w:val="14"/>
              </w:rPr>
              <w:t>0..4 bounded branch depth</w:t>
            </w:r>
          </w:p>
        </w:tc>
        <w:tc>
          <w:tcPr>
            <w:tcW w:type="dxa" w:w="4464"/>
            <w:vAlign w:val="center"/>
            <w:shd w:fill="F8FBFD"/>
          </w:tcPr>
          <w:p>
            <w:r/>
            <w:r>
              <w:rPr>
                <w:rFonts w:ascii="Calibri" w:hAnsi="Calibri"/>
                <w:b w:val="0"/>
                <w:sz w:val="14"/>
              </w:rPr>
              <w:t>Controls recursion and prevents unbounded tree explosion.</w:t>
            </w:r>
          </w:p>
        </w:tc>
      </w:tr>
      <w:tr>
        <w:tc>
          <w:tcPr>
            <w:tcW w:type="dxa" w:w="1944"/>
            <w:vAlign w:val="center"/>
          </w:tcPr>
          <w:p>
            <w:r/>
            <w:r>
              <w:rPr>
                <w:rFonts w:ascii="Calibri" w:hAnsi="Calibri"/>
                <w:b w:val="0"/>
                <w:sz w:val="14"/>
              </w:rPr>
              <w:t>state</w:t>
            </w:r>
          </w:p>
        </w:tc>
        <w:tc>
          <w:tcPr>
            <w:tcW w:type="dxa" w:w="3096"/>
            <w:vAlign w:val="center"/>
          </w:tcPr>
          <w:p>
            <w:r/>
            <w:r>
              <w:rPr>
                <w:rFonts w:ascii="Calibri" w:hAnsi="Calibri"/>
                <w:b w:val="0"/>
                <w:sz w:val="14"/>
              </w:rPr>
              <w:t>queued / running / scored / resolved / failed</w:t>
            </w:r>
          </w:p>
        </w:tc>
        <w:tc>
          <w:tcPr>
            <w:tcW w:type="dxa" w:w="4464"/>
            <w:vAlign w:val="center"/>
          </w:tcPr>
          <w:p>
            <w:r/>
            <w:r>
              <w:rPr>
                <w:rFonts w:ascii="Calibri" w:hAnsi="Calibri"/>
                <w:b w:val="0"/>
                <w:sz w:val="14"/>
              </w:rPr>
              <w:t>Lifecycle status for the node.</w:t>
            </w:r>
          </w:p>
        </w:tc>
      </w:tr>
      <w:tr>
        <w:tc>
          <w:tcPr>
            <w:tcW w:type="dxa" w:w="1944"/>
            <w:vAlign w:val="center"/>
            <w:shd w:fill="F8FBFD"/>
          </w:tcPr>
          <w:p>
            <w:r/>
            <w:r>
              <w:rPr>
                <w:rFonts w:ascii="Calibri" w:hAnsi="Calibri"/>
                <w:b w:val="0"/>
                <w:sz w:val="14"/>
              </w:rPr>
              <w:t>score + confidence</w:t>
            </w:r>
          </w:p>
        </w:tc>
        <w:tc>
          <w:tcPr>
            <w:tcW w:type="dxa" w:w="3096"/>
            <w:vAlign w:val="center"/>
            <w:shd w:fill="F8FBFD"/>
          </w:tcPr>
          <w:p>
            <w:r/>
            <w:r>
              <w:rPr>
                <w:rFonts w:ascii="Calibri" w:hAnsi="Calibri"/>
                <w:b w:val="0"/>
                <w:sz w:val="14"/>
              </w:rPr>
              <w:t>94 + 0.93</w:t>
            </w:r>
          </w:p>
        </w:tc>
        <w:tc>
          <w:tcPr>
            <w:tcW w:type="dxa" w:w="4464"/>
            <w:vAlign w:val="center"/>
            <w:shd w:fill="F8FBFD"/>
          </w:tcPr>
          <w:p>
            <w:r/>
            <w:r>
              <w:rPr>
                <w:rFonts w:ascii="Calibri" w:hAnsi="Calibri"/>
                <w:b w:val="0"/>
                <w:sz w:val="14"/>
              </w:rPr>
              <w:t>Deterministic trust signal from verifier layer.</w:t>
            </w:r>
          </w:p>
        </w:tc>
      </w:tr>
      <w:tr>
        <w:tc>
          <w:tcPr>
            <w:tcW w:type="dxa" w:w="1944"/>
            <w:vAlign w:val="center"/>
          </w:tcPr>
          <w:p>
            <w:r/>
            <w:r>
              <w:rPr>
                <w:rFonts w:ascii="Calibri" w:hAnsi="Calibri"/>
                <w:b w:val="0"/>
                <w:sz w:val="14"/>
              </w:rPr>
              <w:t>notes</w:t>
            </w:r>
          </w:p>
        </w:tc>
        <w:tc>
          <w:tcPr>
            <w:tcW w:type="dxa" w:w="3096"/>
            <w:vAlign w:val="center"/>
          </w:tcPr>
          <w:p>
            <w:r/>
            <w:r>
              <w:rPr>
                <w:rFonts w:ascii="Calibri" w:hAnsi="Calibri"/>
                <w:b w:val="0"/>
                <w:sz w:val="14"/>
              </w:rPr>
              <w:t>score=94; confidence=0.93; verifier=deterministic verification</w:t>
            </w:r>
          </w:p>
        </w:tc>
        <w:tc>
          <w:tcPr>
            <w:tcW w:type="dxa" w:w="4464"/>
            <w:vAlign w:val="center"/>
          </w:tcPr>
          <w:p>
            <w:r/>
            <w:r>
              <w:rPr>
                <w:rFonts w:ascii="Calibri" w:hAnsi="Calibri"/>
                <w:b w:val="0"/>
                <w:sz w:val="14"/>
              </w:rPr>
              <w:t>Human-readable reasoning and audit breadcrumbs.</w:t>
            </w:r>
          </w:p>
        </w:tc>
      </w:tr>
    </w:tbl>
    <w:p>
      <w:pPr>
        <w:pStyle w:val="Heading2"/>
        <w:jc w:val="left"/>
      </w:pPr>
      <w:r>
        <w:rPr>
          <w:b/>
          <w:color w:val="1F4E79"/>
        </w:rPr>
        <w:t>Example Mapping Cards</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F4E79"/>
          </w:tcPr>
          <w:p>
            <w:r/>
            <w:r>
              <w:rPr>
                <w:rFonts w:ascii="Calibri" w:hAnsi="Calibri"/>
                <w:b/>
                <w:color w:val="FFFFFF"/>
                <w:sz w:val="13"/>
              </w:rPr>
              <w:t>Card Type</w:t>
            </w:r>
          </w:p>
        </w:tc>
        <w:tc>
          <w:tcPr>
            <w:tcW w:type="dxa" w:w="4464"/>
            <w:vAlign w:val="center"/>
            <w:shd w:fill="1F4E79"/>
          </w:tcPr>
          <w:p>
            <w:r/>
            <w:r>
              <w:rPr>
                <w:rFonts w:ascii="Calibri" w:hAnsi="Calibri"/>
                <w:b/>
                <w:color w:val="FFFFFF"/>
                <w:sz w:val="13"/>
              </w:rPr>
              <w:t>Representative Payload</w:t>
            </w:r>
          </w:p>
        </w:tc>
        <w:tc>
          <w:tcPr>
            <w:tcW w:type="dxa" w:w="3456"/>
            <w:vAlign w:val="center"/>
            <w:shd w:fill="1F4E79"/>
          </w:tcPr>
          <w:p>
            <w:r/>
            <w:r>
              <w:rPr>
                <w:rFonts w:ascii="Calibri" w:hAnsi="Calibri"/>
                <w:b/>
                <w:color w:val="FFFFFF"/>
                <w:sz w:val="13"/>
              </w:rPr>
              <w:t>Interpretation</w:t>
            </w:r>
          </w:p>
        </w:tc>
      </w:tr>
      <w:tr>
        <w:tc>
          <w:tcPr>
            <w:tcW w:type="dxa" w:w="1800"/>
            <w:vAlign w:val="center"/>
            <w:shd w:fill="F8FBFD"/>
          </w:tcPr>
          <w:p>
            <w:r/>
            <w:r>
              <w:rPr>
                <w:rFonts w:ascii="Calibri" w:hAnsi="Calibri"/>
                <w:b w:val="0"/>
                <w:sz w:val="13"/>
              </w:rPr>
              <w:t>Root Cause branch</w:t>
            </w:r>
          </w:p>
        </w:tc>
        <w:tc>
          <w:tcPr>
            <w:tcW w:type="dxa" w:w="4464"/>
            <w:vAlign w:val="center"/>
            <w:shd w:fill="F8FBFD"/>
          </w:tcPr>
          <w:p>
            <w:r/>
            <w:r>
              <w:rPr>
                <w:rFonts w:ascii="Calibri" w:hAnsi="Calibri"/>
                <w:b w:val="0"/>
                <w:sz w:val="13"/>
              </w:rPr>
              <w:t>alias_name: rcv2_run_x_n000001</w:t>
              <w:br/>
              <w:t>canonical: root.cause.v2.branch.depth_0 [encrypted]</w:t>
              <w:br/>
              <w:t>strategy: ROOT_CAUSE</w:t>
              <w:br/>
              <w:t>score: 94</w:t>
              <w:br/>
              <w:t>confidence: 0.93</w:t>
              <w:br/>
              <w:t>state: resolved</w:t>
            </w:r>
          </w:p>
        </w:tc>
        <w:tc>
          <w:tcPr>
            <w:tcW w:type="dxa" w:w="3456"/>
            <w:vAlign w:val="center"/>
            <w:shd w:fill="F8FBFD"/>
          </w:tcPr>
          <w:p>
            <w:r/>
            <w:r>
              <w:rPr>
                <w:rFonts w:ascii="Calibri" w:hAnsi="Calibri"/>
                <w:b w:val="0"/>
                <w:sz w:val="13"/>
              </w:rPr>
              <w:t>High-confidence causal explanation; likely enough to resolve the run or seed a follow-up branch.</w:t>
            </w:r>
          </w:p>
        </w:tc>
      </w:tr>
      <w:tr>
        <w:tc>
          <w:tcPr>
            <w:tcW w:type="dxa" w:w="1800"/>
            <w:vAlign w:val="center"/>
          </w:tcPr>
          <w:p>
            <w:r/>
            <w:r>
              <w:rPr>
                <w:rFonts w:ascii="Calibri" w:hAnsi="Calibri"/>
                <w:b w:val="0"/>
                <w:sz w:val="13"/>
              </w:rPr>
              <w:t>Patch Doctor branch</w:t>
            </w:r>
          </w:p>
        </w:tc>
        <w:tc>
          <w:tcPr>
            <w:tcW w:type="dxa" w:w="4464"/>
            <w:vAlign w:val="center"/>
          </w:tcPr>
          <w:p>
            <w:r/>
            <w:r>
              <w:rPr>
                <w:rFonts w:ascii="Calibri" w:hAnsi="Calibri"/>
                <w:b w:val="0"/>
                <w:sz w:val="13"/>
              </w:rPr>
              <w:t>alias_name: pdv2_run_x_n000002</w:t>
              <w:br/>
              <w:t>canonical: patch.doctor.v2.branch.depth_0 [encrypted]</w:t>
              <w:br/>
              <w:t>strategy: PATCH</w:t>
              <w:br/>
              <w:t>score: 84</w:t>
              <w:br/>
              <w:t>confidence: 0.82</w:t>
              <w:br/>
              <w:t>state: scored</w:t>
            </w:r>
          </w:p>
        </w:tc>
        <w:tc>
          <w:tcPr>
            <w:tcW w:type="dxa" w:w="3456"/>
            <w:vAlign w:val="center"/>
          </w:tcPr>
          <w:p>
            <w:r/>
            <w:r>
              <w:rPr>
                <w:rFonts w:ascii="Calibri" w:hAnsi="Calibri"/>
                <w:b w:val="0"/>
                <w:sz w:val="13"/>
              </w:rPr>
              <w:t>Suggested patch with medium risk; useful for comparison against root-cause and rebuild paths.</w:t>
            </w:r>
          </w:p>
        </w:tc>
      </w:tr>
      <w:tr>
        <w:tc>
          <w:tcPr>
            <w:tcW w:type="dxa" w:w="1800"/>
            <w:vAlign w:val="center"/>
            <w:shd w:fill="F8FBFD"/>
          </w:tcPr>
          <w:p>
            <w:r/>
            <w:r>
              <w:rPr>
                <w:rFonts w:ascii="Calibri" w:hAnsi="Calibri"/>
                <w:b w:val="0"/>
                <w:sz w:val="13"/>
              </w:rPr>
              <w:t>Mothman note card</w:t>
            </w:r>
          </w:p>
        </w:tc>
        <w:tc>
          <w:tcPr>
            <w:tcW w:type="dxa" w:w="4464"/>
            <w:vAlign w:val="center"/>
            <w:shd w:fill="F8FBFD"/>
          </w:tcPr>
          <w:p>
            <w:r/>
            <w:r>
              <w:rPr>
                <w:rFonts w:ascii="Calibri" w:hAnsi="Calibri"/>
                <w:b w:val="0"/>
                <w:sz w:val="13"/>
              </w:rPr>
              <w:t>workerName: Mothman</w:t>
              <w:br/>
              <w:t>noteType: debug</w:t>
              <w:br/>
              <w:t>noteText: [debug] azrael-fallback-execution; latency=500ms; cost=0</w:t>
            </w:r>
          </w:p>
        </w:tc>
        <w:tc>
          <w:tcPr>
            <w:tcW w:type="dxa" w:w="3456"/>
            <w:vAlign w:val="center"/>
            <w:shd w:fill="F8FBFD"/>
          </w:tcPr>
          <w:p>
            <w:r/>
            <w:r>
              <w:rPr>
                <w:rFonts w:ascii="Calibri" w:hAnsi="Calibri"/>
                <w:b w:val="0"/>
                <w:sz w:val="13"/>
              </w:rPr>
              <w:t>Adds observational traces without becoming the canonical authority.</w:t>
            </w:r>
          </w:p>
        </w:tc>
      </w:tr>
    </w:tbl>
    <w:p>
      <w:pPr>
        <w:pStyle w:val="Heading1"/>
        <w:jc w:val="left"/>
      </w:pPr>
      <w:r>
        <w:rPr>
          <w:b/>
          <w:color w:val="1F4E79"/>
        </w:rPr>
        <w:t>6. Recursive Orchestration and Bounded Branching</w:t>
      </w:r>
    </w:p>
    <w:p>
      <w:pPr>
        <w:pStyle w:val="BodySmall"/>
      </w:pPr>
      <w:r>
        <w:t>In this context, recursive orchestration means a run can create child branches, score those branches, and use the outcome to decide whether another bounded branch should be spawned. It does not mean magical self-awareness. It means controlled self-referential workflow expansion: plan -&gt; run -&gt; score -&gt; gate -&gt; write graph -&gt; optionally branch again.</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F4E79"/>
          </w:tcPr>
          <w:p>
            <w:r/>
            <w:r>
              <w:rPr>
                <w:rFonts w:ascii="Calibri" w:hAnsi="Calibri"/>
                <w:b/>
                <w:color w:val="FFFFFF"/>
                <w:sz w:val="14"/>
              </w:rPr>
              <w:t>Mechanism</w:t>
            </w:r>
          </w:p>
        </w:tc>
        <w:tc>
          <w:tcPr>
            <w:tcW w:type="dxa" w:w="4392"/>
            <w:vAlign w:val="center"/>
            <w:shd w:fill="1F4E79"/>
          </w:tcPr>
          <w:p>
            <w:r/>
            <w:r>
              <w:rPr>
                <w:rFonts w:ascii="Calibri" w:hAnsi="Calibri"/>
                <w:b/>
                <w:color w:val="FFFFFF"/>
                <w:sz w:val="14"/>
              </w:rPr>
              <w:t>Observed / Intended Behavior</w:t>
            </w:r>
          </w:p>
        </w:tc>
        <w:tc>
          <w:tcPr>
            <w:tcW w:type="dxa" w:w="3312"/>
            <w:vAlign w:val="center"/>
            <w:shd w:fill="1F4E79"/>
          </w:tcPr>
          <w:p>
            <w:r/>
            <w:r>
              <w:rPr>
                <w:rFonts w:ascii="Calibri" w:hAnsi="Calibri"/>
                <w:b/>
                <w:color w:val="FFFFFF"/>
                <w:sz w:val="14"/>
              </w:rPr>
              <w:t>Safety Boundary</w:t>
            </w:r>
          </w:p>
        </w:tc>
      </w:tr>
      <w:tr>
        <w:tc>
          <w:tcPr>
            <w:tcW w:type="dxa" w:w="1800"/>
            <w:vAlign w:val="center"/>
            <w:shd w:fill="F8FBFD"/>
          </w:tcPr>
          <w:p>
            <w:r/>
            <w:r>
              <w:rPr>
                <w:rFonts w:ascii="Calibri" w:hAnsi="Calibri"/>
                <w:b w:val="0"/>
                <w:sz w:val="14"/>
              </w:rPr>
              <w:t>Branch creation</w:t>
            </w:r>
          </w:p>
        </w:tc>
        <w:tc>
          <w:tcPr>
            <w:tcW w:type="dxa" w:w="4392"/>
            <w:vAlign w:val="center"/>
            <w:shd w:fill="F8FBFD"/>
          </w:tcPr>
          <w:p>
            <w:r/>
            <w:r>
              <w:rPr>
                <w:rFonts w:ascii="Calibri" w:hAnsi="Calibri"/>
                <w:b w:val="0"/>
                <w:sz w:val="14"/>
              </w:rPr>
              <w:t>Task factory seeds strategies such as ROOT_CAUSE, PATCH, REBUILD, CAUSE_MAP; V3 formalizes AZRAEL_EXECUTION.</w:t>
            </w:r>
          </w:p>
        </w:tc>
        <w:tc>
          <w:tcPr>
            <w:tcW w:type="dxa" w:w="3312"/>
            <w:vAlign w:val="center"/>
            <w:shd w:fill="F8FBFD"/>
          </w:tcPr>
          <w:p>
            <w:r/>
            <w:r>
              <w:rPr>
                <w:rFonts w:ascii="Calibri" w:hAnsi="Calibri"/>
                <w:b w:val="0"/>
                <w:sz w:val="14"/>
              </w:rPr>
              <w:t>Created through typed envelopes and stored as nodes.</w:t>
            </w:r>
          </w:p>
        </w:tc>
      </w:tr>
      <w:tr>
        <w:tc>
          <w:tcPr>
            <w:tcW w:type="dxa" w:w="1800"/>
            <w:vAlign w:val="center"/>
          </w:tcPr>
          <w:p>
            <w:r/>
            <w:r>
              <w:rPr>
                <w:rFonts w:ascii="Calibri" w:hAnsi="Calibri"/>
                <w:b w:val="0"/>
                <w:sz w:val="14"/>
              </w:rPr>
              <w:t>Depth control</w:t>
            </w:r>
          </w:p>
        </w:tc>
        <w:tc>
          <w:tcPr>
            <w:tcW w:type="dxa" w:w="4392"/>
            <w:vAlign w:val="center"/>
          </w:tcPr>
          <w:p>
            <w:r/>
            <w:r>
              <w:rPr>
                <w:rFonts w:ascii="Calibri" w:hAnsi="Calibri"/>
                <w:b w:val="0"/>
                <w:sz w:val="14"/>
              </w:rPr>
              <w:t>Depth is tracked on each card/node; earlier limit discussed as depth &lt; 4 to prevent runaway branching.</w:t>
            </w:r>
          </w:p>
        </w:tc>
        <w:tc>
          <w:tcPr>
            <w:tcW w:type="dxa" w:w="3312"/>
            <w:vAlign w:val="center"/>
          </w:tcPr>
          <w:p>
            <w:r/>
            <w:r>
              <w:rPr>
                <w:rFonts w:ascii="Calibri" w:hAnsi="Calibri"/>
                <w:b w:val="0"/>
                <w:sz w:val="14"/>
              </w:rPr>
              <w:t>Depth cap and child count cap stop graph mutation from going wild.</w:t>
            </w:r>
          </w:p>
        </w:tc>
      </w:tr>
      <w:tr>
        <w:tc>
          <w:tcPr>
            <w:tcW w:type="dxa" w:w="1800"/>
            <w:vAlign w:val="center"/>
            <w:shd w:fill="F8FBFD"/>
          </w:tcPr>
          <w:p>
            <w:r/>
            <w:r>
              <w:rPr>
                <w:rFonts w:ascii="Calibri" w:hAnsi="Calibri"/>
                <w:b w:val="0"/>
                <w:sz w:val="14"/>
              </w:rPr>
              <w:t>Score-based gating</w:t>
            </w:r>
          </w:p>
        </w:tc>
        <w:tc>
          <w:tcPr>
            <w:tcW w:type="dxa" w:w="4392"/>
            <w:vAlign w:val="center"/>
            <w:shd w:fill="F8FBFD"/>
          </w:tcPr>
          <w:p>
            <w:r/>
            <w:r>
              <w:rPr>
                <w:rFonts w:ascii="Calibri" w:hAnsi="Calibri"/>
                <w:b w:val="0"/>
                <w:sz w:val="14"/>
              </w:rPr>
              <w:t>Agent Smith/Judge Judy attaches score and confidence; General Disarray approves/rejects compliance.</w:t>
            </w:r>
          </w:p>
        </w:tc>
        <w:tc>
          <w:tcPr>
            <w:tcW w:type="dxa" w:w="3312"/>
            <w:vAlign w:val="center"/>
            <w:shd w:fill="F8FBFD"/>
          </w:tcPr>
          <w:p>
            <w:r/>
            <w:r>
              <w:rPr>
                <w:rFonts w:ascii="Calibri" w:hAnsi="Calibri"/>
                <w:b w:val="0"/>
                <w:sz w:val="14"/>
              </w:rPr>
              <w:t>Low-confidence output can be rejected or left scored instead of resolved.</w:t>
            </w:r>
          </w:p>
        </w:tc>
      </w:tr>
      <w:tr>
        <w:tc>
          <w:tcPr>
            <w:tcW w:type="dxa" w:w="1800"/>
            <w:vAlign w:val="center"/>
          </w:tcPr>
          <w:p>
            <w:r/>
            <w:r>
              <w:rPr>
                <w:rFonts w:ascii="Calibri" w:hAnsi="Calibri"/>
                <w:b w:val="0"/>
                <w:sz w:val="14"/>
              </w:rPr>
              <w:t>Single-writer state</w:t>
            </w:r>
          </w:p>
        </w:tc>
        <w:tc>
          <w:tcPr>
            <w:tcW w:type="dxa" w:w="4392"/>
            <w:vAlign w:val="center"/>
          </w:tcPr>
          <w:p>
            <w:r/>
            <w:r>
              <w:rPr>
                <w:rFonts w:ascii="Calibri" w:hAnsi="Calibri"/>
                <w:b w:val="0"/>
                <w:sz w:val="14"/>
              </w:rPr>
              <w:t>RunCoordinator/The Dude writes canonical D1 state.</w:t>
            </w:r>
          </w:p>
        </w:tc>
        <w:tc>
          <w:tcPr>
            <w:tcW w:type="dxa" w:w="3312"/>
            <w:vAlign w:val="center"/>
          </w:tcPr>
          <w:p>
            <w:r/>
            <w:r>
              <w:rPr>
                <w:rFonts w:ascii="Calibri" w:hAnsi="Calibri"/>
                <w:b w:val="0"/>
                <w:sz w:val="14"/>
              </w:rPr>
              <w:t>Workers cannot all scribble into the ledger independently.</w:t>
            </w:r>
          </w:p>
        </w:tc>
      </w:tr>
      <w:tr>
        <w:tc>
          <w:tcPr>
            <w:tcW w:type="dxa" w:w="1800"/>
            <w:vAlign w:val="center"/>
            <w:shd w:fill="F8FBFD"/>
          </w:tcPr>
          <w:p>
            <w:r/>
            <w:r>
              <w:rPr>
                <w:rFonts w:ascii="Calibri" w:hAnsi="Calibri"/>
                <w:b w:val="0"/>
                <w:sz w:val="14"/>
              </w:rPr>
              <w:t>Export feedback</w:t>
            </w:r>
          </w:p>
        </w:tc>
        <w:tc>
          <w:tcPr>
            <w:tcW w:type="dxa" w:w="4392"/>
            <w:vAlign w:val="center"/>
            <w:shd w:fill="F8FBFD"/>
          </w:tcPr>
          <w:p>
            <w:r/>
            <w:r>
              <w:rPr>
                <w:rFonts w:ascii="Calibri" w:hAnsi="Calibri"/>
                <w:b w:val="0"/>
                <w:sz w:val="14"/>
              </w:rPr>
              <w:t>Trace Hound exports mapping cards after execution.</w:t>
            </w:r>
          </w:p>
        </w:tc>
        <w:tc>
          <w:tcPr>
            <w:tcW w:type="dxa" w:w="3312"/>
            <w:vAlign w:val="center"/>
            <w:shd w:fill="F8FBFD"/>
          </w:tcPr>
          <w:p>
            <w:r/>
            <w:r>
              <w:rPr>
                <w:rFonts w:ascii="Calibri" w:hAnsi="Calibri"/>
                <w:b w:val="0"/>
                <w:sz w:val="14"/>
              </w:rPr>
              <w:t>Students/researchers inspect outputs without directly mutating runtime.</w:t>
            </w:r>
          </w:p>
        </w:tc>
      </w:tr>
    </w:tbl>
    <w:p>
      <w:pPr>
        <w:jc w:val="center"/>
      </w:pPr>
      <w:r>
        <w:drawing>
          <wp:inline xmlns:a="http://schemas.openxmlformats.org/drawingml/2006/main" xmlns:pic="http://schemas.openxmlformats.org/drawingml/2006/picture">
            <wp:extent cx="6217920" cy="3489381"/>
            <wp:docPr id="6" name="Picture 6"/>
            <wp:cNvGraphicFramePr>
              <a:graphicFrameLocks noChangeAspect="1"/>
            </wp:cNvGraphicFramePr>
            <a:graphic>
              <a:graphicData uri="http://schemas.openxmlformats.org/drawingml/2006/picture">
                <pic:pic>
                  <pic:nvPicPr>
                    <pic:cNvPr id="0" name="fd8e1671-8f9f-4eef-8482-001dca54b2f7.png"/>
                    <pic:cNvPicPr/>
                  </pic:nvPicPr>
                  <pic:blipFill>
                    <a:blip r:embed="rId14"/>
                    <a:stretch>
                      <a:fillRect/>
                    </a:stretch>
                  </pic:blipFill>
                  <pic:spPr>
                    <a:xfrm>
                      <a:off x="0" y="0"/>
                      <a:ext cx="6217920" cy="3489381"/>
                    </a:xfrm>
                    <a:prstGeom prst="rect"/>
                  </pic:spPr>
                </pic:pic>
              </a:graphicData>
            </a:graphic>
          </wp:inline>
        </w:drawing>
      </w:r>
    </w:p>
    <w:p>
      <w:pPr>
        <w:jc w:val="center"/>
      </w:pPr>
      <w:r>
        <w:rPr>
          <w:i/>
          <w:color w:val="4B5563"/>
          <w:sz w:val="14"/>
        </w:rPr>
        <w:t>Code evidence: General Chaos V2 public-worker bundle showing naming, strategy mapping, and runtime execution pathways.</w:t>
      </w:r>
    </w:p>
    <w:p>
      <w:pPr>
        <w:pStyle w:val="Heading1"/>
        <w:jc w:val="left"/>
      </w:pPr>
      <w:r>
        <w:rPr>
          <w:b/>
          <w:color w:val="1F4E79"/>
        </w:rPr>
        <w:t>7. University Partnership Research Program</w:t>
      </w:r>
    </w:p>
    <w:p>
      <w:pPr>
        <w:pStyle w:val="BodySmall"/>
      </w:pPr>
      <w:r>
        <w:t>Positioning: an applied AI systems research platform for observable agent runtime behavior, constrained recursive planning, knowledge graph explainability, and versioned agent evaluation. Students do not need unrestricted production access. They can work inside bounded objectives and exported graph artifacts.</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center"/>
            <w:shd w:fill="1F4E79"/>
          </w:tcPr>
          <w:p>
            <w:r/>
            <w:r>
              <w:rPr>
                <w:rFonts w:ascii="Calibri" w:hAnsi="Calibri"/>
                <w:b/>
                <w:color w:val="FFFFFF"/>
                <w:sz w:val="14"/>
              </w:rPr>
              <w:t>Research Track</w:t>
            </w:r>
          </w:p>
        </w:tc>
        <w:tc>
          <w:tcPr>
            <w:tcW w:type="dxa" w:w="4464"/>
            <w:vAlign w:val="center"/>
            <w:shd w:fill="1F4E79"/>
          </w:tcPr>
          <w:p>
            <w:r/>
            <w:r>
              <w:rPr>
                <w:rFonts w:ascii="Calibri" w:hAnsi="Calibri"/>
                <w:b/>
                <w:color w:val="FFFFFF"/>
                <w:sz w:val="14"/>
              </w:rPr>
              <w:t>What Students Can Do</w:t>
            </w:r>
          </w:p>
        </w:tc>
        <w:tc>
          <w:tcPr>
            <w:tcW w:type="dxa" w:w="2880"/>
            <w:vAlign w:val="center"/>
            <w:shd w:fill="1F4E79"/>
          </w:tcPr>
          <w:p>
            <w:r/>
            <w:r>
              <w:rPr>
                <w:rFonts w:ascii="Calibri" w:hAnsi="Calibri"/>
                <w:b/>
                <w:color w:val="FFFFFF"/>
                <w:sz w:val="14"/>
              </w:rPr>
              <w:t>Deliverable</w:t>
            </w:r>
          </w:p>
        </w:tc>
      </w:tr>
      <w:tr>
        <w:tc>
          <w:tcPr>
            <w:tcW w:type="dxa" w:w="2016"/>
            <w:vAlign w:val="center"/>
            <w:shd w:fill="F8FBFD"/>
          </w:tcPr>
          <w:p>
            <w:r/>
            <w:r>
              <w:rPr>
                <w:rFonts w:ascii="Calibri" w:hAnsi="Calibri"/>
                <w:b w:val="0"/>
                <w:sz w:val="14"/>
              </w:rPr>
              <w:t>Agent behavior mapping</w:t>
            </w:r>
          </w:p>
        </w:tc>
        <w:tc>
          <w:tcPr>
            <w:tcW w:type="dxa" w:w="4464"/>
            <w:vAlign w:val="center"/>
            <w:shd w:fill="F8FBFD"/>
          </w:tcPr>
          <w:p>
            <w:r/>
            <w:r>
              <w:rPr>
                <w:rFonts w:ascii="Calibri" w:hAnsi="Calibri"/>
                <w:b w:val="0"/>
                <w:sz w:val="14"/>
              </w:rPr>
              <w:t>Run controlled objectives and compare mapping cards across strategies.</w:t>
            </w:r>
          </w:p>
        </w:tc>
        <w:tc>
          <w:tcPr>
            <w:tcW w:type="dxa" w:w="2880"/>
            <w:vAlign w:val="center"/>
            <w:shd w:fill="F8FBFD"/>
          </w:tcPr>
          <w:p>
            <w:r/>
            <w:r>
              <w:rPr>
                <w:rFonts w:ascii="Calibri" w:hAnsi="Calibri"/>
                <w:b w:val="0"/>
                <w:sz w:val="14"/>
              </w:rPr>
              <w:t>Branch behavior report with exported CSV/JSON cards.</w:t>
            </w:r>
          </w:p>
        </w:tc>
      </w:tr>
      <w:tr>
        <w:tc>
          <w:tcPr>
            <w:tcW w:type="dxa" w:w="2016"/>
            <w:vAlign w:val="center"/>
          </w:tcPr>
          <w:p>
            <w:r/>
            <w:r>
              <w:rPr>
                <w:rFonts w:ascii="Calibri" w:hAnsi="Calibri"/>
                <w:b w:val="0"/>
                <w:sz w:val="14"/>
              </w:rPr>
              <w:t>Verifier calibration</w:t>
            </w:r>
          </w:p>
        </w:tc>
        <w:tc>
          <w:tcPr>
            <w:tcW w:type="dxa" w:w="4464"/>
            <w:vAlign w:val="center"/>
          </w:tcPr>
          <w:p>
            <w:r/>
            <w:r>
              <w:rPr>
                <w:rFonts w:ascii="Calibri" w:hAnsi="Calibri"/>
                <w:b w:val="0"/>
                <w:sz w:val="14"/>
              </w:rPr>
              <w:t>Alter scoring policies in a sandbox and measure score/confidence distributions.</w:t>
            </w:r>
          </w:p>
        </w:tc>
        <w:tc>
          <w:tcPr>
            <w:tcW w:type="dxa" w:w="2880"/>
            <w:vAlign w:val="center"/>
          </w:tcPr>
          <w:p>
            <w:r/>
            <w:r>
              <w:rPr>
                <w:rFonts w:ascii="Calibri" w:hAnsi="Calibri"/>
                <w:b w:val="0"/>
                <w:sz w:val="14"/>
              </w:rPr>
              <w:t>Verifier rubric + regression suite.</w:t>
            </w:r>
          </w:p>
        </w:tc>
      </w:tr>
      <w:tr>
        <w:tc>
          <w:tcPr>
            <w:tcW w:type="dxa" w:w="2016"/>
            <w:vAlign w:val="center"/>
            <w:shd w:fill="F8FBFD"/>
          </w:tcPr>
          <w:p>
            <w:r/>
            <w:r>
              <w:rPr>
                <w:rFonts w:ascii="Calibri" w:hAnsi="Calibri"/>
                <w:b w:val="0"/>
                <w:sz w:val="14"/>
              </w:rPr>
              <w:t>Knowledge graph explainability</w:t>
            </w:r>
          </w:p>
        </w:tc>
        <w:tc>
          <w:tcPr>
            <w:tcW w:type="dxa" w:w="4464"/>
            <w:vAlign w:val="center"/>
            <w:shd w:fill="F8FBFD"/>
          </w:tcPr>
          <w:p>
            <w:r/>
            <w:r>
              <w:rPr>
                <w:rFonts w:ascii="Calibri" w:hAnsi="Calibri"/>
                <w:b w:val="0"/>
                <w:sz w:val="14"/>
              </w:rPr>
              <w:t>Build dashboards over runs, edges, notes, and mapping cards.</w:t>
            </w:r>
          </w:p>
        </w:tc>
        <w:tc>
          <w:tcPr>
            <w:tcW w:type="dxa" w:w="2880"/>
            <w:vAlign w:val="center"/>
            <w:shd w:fill="F8FBFD"/>
          </w:tcPr>
          <w:p>
            <w:r/>
            <w:r>
              <w:rPr>
                <w:rFonts w:ascii="Calibri" w:hAnsi="Calibri"/>
                <w:b w:val="0"/>
                <w:sz w:val="14"/>
              </w:rPr>
              <w:t>Graph viewer or trace explorer.</w:t>
            </w:r>
          </w:p>
        </w:tc>
      </w:tr>
      <w:tr>
        <w:tc>
          <w:tcPr>
            <w:tcW w:type="dxa" w:w="2016"/>
            <w:vAlign w:val="center"/>
          </w:tcPr>
          <w:p>
            <w:r/>
            <w:r>
              <w:rPr>
                <w:rFonts w:ascii="Calibri" w:hAnsi="Calibri"/>
                <w:b w:val="0"/>
                <w:sz w:val="14"/>
              </w:rPr>
              <w:t>Runtime safety</w:t>
            </w:r>
          </w:p>
        </w:tc>
        <w:tc>
          <w:tcPr>
            <w:tcW w:type="dxa" w:w="4464"/>
            <w:vAlign w:val="center"/>
          </w:tcPr>
          <w:p>
            <w:r/>
            <w:r>
              <w:rPr>
                <w:rFonts w:ascii="Calibri" w:hAnsi="Calibri"/>
                <w:b w:val="0"/>
                <w:sz w:val="14"/>
              </w:rPr>
              <w:t>Test depth limits, child limits, idempotency, queue retries, and compliance rejection.</w:t>
            </w:r>
          </w:p>
        </w:tc>
        <w:tc>
          <w:tcPr>
            <w:tcW w:type="dxa" w:w="2880"/>
            <w:vAlign w:val="center"/>
          </w:tcPr>
          <w:p>
            <w:r/>
            <w:r>
              <w:rPr>
                <w:rFonts w:ascii="Calibri" w:hAnsi="Calibri"/>
                <w:b w:val="0"/>
                <w:sz w:val="14"/>
              </w:rPr>
              <w:t>Safety boundary report.</w:t>
            </w:r>
          </w:p>
        </w:tc>
      </w:tr>
      <w:tr>
        <w:tc>
          <w:tcPr>
            <w:tcW w:type="dxa" w:w="2016"/>
            <w:vAlign w:val="center"/>
            <w:shd w:fill="F8FBFD"/>
          </w:tcPr>
          <w:p>
            <w:r/>
            <w:r>
              <w:rPr>
                <w:rFonts w:ascii="Calibri" w:hAnsi="Calibri"/>
                <w:b w:val="0"/>
                <w:sz w:val="14"/>
              </w:rPr>
              <w:t>Applied automation</w:t>
            </w:r>
          </w:p>
        </w:tc>
        <w:tc>
          <w:tcPr>
            <w:tcW w:type="dxa" w:w="4464"/>
            <w:vAlign w:val="center"/>
            <w:shd w:fill="F8FBFD"/>
          </w:tcPr>
          <w:p>
            <w:r/>
            <w:r>
              <w:rPr>
                <w:rFonts w:ascii="Calibri" w:hAnsi="Calibri"/>
                <w:b w:val="0"/>
                <w:sz w:val="14"/>
              </w:rPr>
              <w:t>Connect a limited inbox/form demo and watch lead scoring enter the graph.</w:t>
            </w:r>
          </w:p>
        </w:tc>
        <w:tc>
          <w:tcPr>
            <w:tcW w:type="dxa" w:w="2880"/>
            <w:vAlign w:val="center"/>
            <w:shd w:fill="F8FBFD"/>
          </w:tcPr>
          <w:p>
            <w:r/>
            <w:r>
              <w:rPr>
                <w:rFonts w:ascii="Calibri" w:hAnsi="Calibri"/>
                <w:b w:val="0"/>
                <w:sz w:val="14"/>
              </w:rPr>
              <w:t>CRM automation demo with trace cards.</w:t>
            </w:r>
          </w:p>
        </w:tc>
      </w:tr>
      <w:tr>
        <w:tc>
          <w:tcPr>
            <w:tcW w:type="dxa" w:w="2016"/>
            <w:vAlign w:val="center"/>
          </w:tcPr>
          <w:p>
            <w:r/>
            <w:r>
              <w:rPr>
                <w:rFonts w:ascii="Calibri" w:hAnsi="Calibri"/>
                <w:b w:val="0"/>
                <w:sz w:val="14"/>
              </w:rPr>
              <w:t>Data provenance</w:t>
            </w:r>
          </w:p>
        </w:tc>
        <w:tc>
          <w:tcPr>
            <w:tcW w:type="dxa" w:w="4464"/>
            <w:vAlign w:val="center"/>
          </w:tcPr>
          <w:p>
            <w:r/>
            <w:r>
              <w:rPr>
                <w:rFonts w:ascii="Calibri" w:hAnsi="Calibri"/>
                <w:b w:val="0"/>
                <w:sz w:val="14"/>
              </w:rPr>
              <w:t>Study alias vs canonical encrypted names and public-safe exports.</w:t>
            </w:r>
          </w:p>
        </w:tc>
        <w:tc>
          <w:tcPr>
            <w:tcW w:type="dxa" w:w="2880"/>
            <w:vAlign w:val="center"/>
          </w:tcPr>
          <w:p>
            <w:r/>
            <w:r>
              <w:rPr>
                <w:rFonts w:ascii="Calibri" w:hAnsi="Calibri"/>
                <w:b w:val="0"/>
                <w:sz w:val="14"/>
              </w:rPr>
              <w:t>Privacy-preserving mapping paper or poster.</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1F4E79"/>
          </w:tcPr>
          <w:p>
            <w:r/>
            <w:r>
              <w:rPr>
                <w:rFonts w:ascii="Calibri" w:hAnsi="Calibri"/>
                <w:b/>
                <w:color w:val="FFFFFF"/>
                <w:sz w:val="14"/>
              </w:rPr>
              <w:t>Demo Scenario</w:t>
            </w:r>
          </w:p>
        </w:tc>
        <w:tc>
          <w:tcPr>
            <w:tcW w:type="dxa" w:w="4536"/>
            <w:vAlign w:val="center"/>
            <w:shd w:fill="1F4E79"/>
          </w:tcPr>
          <w:p>
            <w:r/>
            <w:r>
              <w:rPr>
                <w:rFonts w:ascii="Calibri" w:hAnsi="Calibri"/>
                <w:b/>
                <w:color w:val="FFFFFF"/>
                <w:sz w:val="14"/>
              </w:rPr>
              <w:t>Runtime Path</w:t>
            </w:r>
          </w:p>
        </w:tc>
        <w:tc>
          <w:tcPr>
            <w:tcW w:type="dxa" w:w="2880"/>
            <w:vAlign w:val="center"/>
            <w:shd w:fill="1F4E79"/>
          </w:tcPr>
          <w:p>
            <w:r/>
            <w:r>
              <w:rPr>
                <w:rFonts w:ascii="Calibri" w:hAnsi="Calibri"/>
                <w:b/>
                <w:color w:val="FFFFFF"/>
                <w:sz w:val="14"/>
              </w:rPr>
              <w:t>Observable Output</w:t>
            </w:r>
          </w:p>
        </w:tc>
      </w:tr>
      <w:tr>
        <w:tc>
          <w:tcPr>
            <w:tcW w:type="dxa" w:w="2232"/>
            <w:vAlign w:val="center"/>
            <w:shd w:fill="F8FBFD"/>
          </w:tcPr>
          <w:p>
            <w:r/>
            <w:r>
              <w:rPr>
                <w:rFonts w:ascii="Calibri" w:hAnsi="Calibri"/>
                <w:b w:val="0"/>
                <w:sz w:val="14"/>
              </w:rPr>
              <w:t>Lead arrives from form/email</w:t>
            </w:r>
          </w:p>
        </w:tc>
        <w:tc>
          <w:tcPr>
            <w:tcW w:type="dxa" w:w="4536"/>
            <w:vAlign w:val="center"/>
            <w:shd w:fill="F8FBFD"/>
          </w:tcPr>
          <w:p>
            <w:r/>
            <w:r>
              <w:rPr>
                <w:rFonts w:ascii="Calibri" w:hAnsi="Calibri"/>
                <w:b w:val="0"/>
                <w:sz w:val="14"/>
              </w:rPr>
              <w:t>General Chaos creates run -&gt; task queue -&gt; execution adapter -&gt; verifier -&gt; D1 graph</w:t>
            </w:r>
          </w:p>
        </w:tc>
        <w:tc>
          <w:tcPr>
            <w:tcW w:type="dxa" w:w="2880"/>
            <w:vAlign w:val="center"/>
            <w:shd w:fill="F8FBFD"/>
          </w:tcPr>
          <w:p>
            <w:r/>
            <w:r>
              <w:rPr>
                <w:rFonts w:ascii="Calibri" w:hAnsi="Calibri"/>
                <w:b w:val="0"/>
                <w:sz w:val="14"/>
              </w:rPr>
              <w:t>Lead score card, reply decision, follow-up decision, final run export.</w:t>
            </w:r>
          </w:p>
        </w:tc>
      </w:tr>
      <w:tr>
        <w:tc>
          <w:tcPr>
            <w:tcW w:type="dxa" w:w="2232"/>
            <w:vAlign w:val="center"/>
          </w:tcPr>
          <w:p>
            <w:r/>
            <w:r>
              <w:rPr>
                <w:rFonts w:ascii="Calibri" w:hAnsi="Calibri"/>
                <w:b w:val="0"/>
                <w:sz w:val="14"/>
              </w:rPr>
              <w:t>Factory task request</w:t>
            </w:r>
          </w:p>
        </w:tc>
        <w:tc>
          <w:tcPr>
            <w:tcW w:type="dxa" w:w="4536"/>
            <w:vAlign w:val="center"/>
          </w:tcPr>
          <w:p>
            <w:r/>
            <w:r>
              <w:rPr>
                <w:rFonts w:ascii="Calibri" w:hAnsi="Calibri"/>
                <w:b w:val="0"/>
                <w:sz w:val="14"/>
              </w:rPr>
              <w:t>EILA controller submits objective -&gt; runtime branches -&gt; Trace Hound exports cards</w:t>
            </w:r>
          </w:p>
        </w:tc>
        <w:tc>
          <w:tcPr>
            <w:tcW w:type="dxa" w:w="2880"/>
            <w:vAlign w:val="center"/>
          </w:tcPr>
          <w:p>
            <w:r/>
            <w:r>
              <w:rPr>
                <w:rFonts w:ascii="Calibri" w:hAnsi="Calibri"/>
                <w:b w:val="0"/>
                <w:sz w:val="14"/>
              </w:rPr>
              <w:t>Action map showing which agent decided what and why.</w:t>
            </w:r>
          </w:p>
        </w:tc>
      </w:tr>
      <w:tr>
        <w:tc>
          <w:tcPr>
            <w:tcW w:type="dxa" w:w="2232"/>
            <w:vAlign w:val="center"/>
            <w:shd w:fill="F8FBFD"/>
          </w:tcPr>
          <w:p>
            <w:r/>
            <w:r>
              <w:rPr>
                <w:rFonts w:ascii="Calibri" w:hAnsi="Calibri"/>
                <w:b w:val="0"/>
                <w:sz w:val="14"/>
              </w:rPr>
              <w:t>Student experiment</w:t>
            </w:r>
          </w:p>
        </w:tc>
        <w:tc>
          <w:tcPr>
            <w:tcW w:type="dxa" w:w="4536"/>
            <w:vAlign w:val="center"/>
            <w:shd w:fill="F8FBFD"/>
          </w:tcPr>
          <w:p>
            <w:r/>
            <w:r>
              <w:rPr>
                <w:rFonts w:ascii="Calibri" w:hAnsi="Calibri"/>
                <w:b w:val="0"/>
                <w:sz w:val="14"/>
              </w:rPr>
              <w:t>Sandbox run with bounded objective and no production mutation</w:t>
            </w:r>
          </w:p>
        </w:tc>
        <w:tc>
          <w:tcPr>
            <w:tcW w:type="dxa" w:w="2880"/>
            <w:vAlign w:val="center"/>
            <w:shd w:fill="F8FBFD"/>
          </w:tcPr>
          <w:p>
            <w:r/>
            <w:r>
              <w:rPr>
                <w:rFonts w:ascii="Calibri" w:hAnsi="Calibri"/>
                <w:b w:val="0"/>
                <w:sz w:val="14"/>
              </w:rPr>
              <w:t>CSV/JSON cards, graph edges, event log, scoring distribution.</w:t>
            </w:r>
          </w:p>
        </w:tc>
      </w:tr>
    </w:tbl>
    <w:p>
      <w:pPr>
        <w:pStyle w:val="Heading1"/>
        <w:jc w:val="left"/>
      </w:pPr>
      <w:r>
        <w:rPr>
          <w:b/>
          <w:color w:val="1F4E79"/>
        </w:rPr>
        <w:t>8. Audit Findings and Next Build Steps</w:t>
      </w:r>
    </w:p>
    <w:tbl>
      <w:tblPr>
        <w:tblStyle w:val="TableGrid"/>
        <w:tblW w:type="auto" w:w="0"/>
        <w:jc w:val="center"/>
        <w:tblLook w:firstColumn="1" w:firstRow="1" w:lastColumn="0" w:lastRow="0" w:noHBand="0" w:noVBand="1" w:val="04A0"/>
      </w:tblPr>
      <w:tblGrid>
        <w:gridCol w:w="3552"/>
        <w:gridCol w:w="3552"/>
        <w:gridCol w:w="3552"/>
      </w:tblGrid>
      <w:tr>
        <w:tc>
          <w:tcPr>
            <w:tcW w:type="dxa" w:w="3456"/>
            <w:vAlign w:val="center"/>
            <w:shd w:fill="1F4E79"/>
          </w:tcPr>
          <w:p>
            <w:r/>
            <w:r>
              <w:rPr>
                <w:rFonts w:ascii="Calibri" w:hAnsi="Calibri"/>
                <w:b/>
                <w:color w:val="FFFFFF"/>
                <w:sz w:val="13"/>
              </w:rPr>
              <w:t>Finding</w:t>
            </w:r>
          </w:p>
        </w:tc>
        <w:tc>
          <w:tcPr>
            <w:tcW w:type="dxa" w:w="3312"/>
            <w:vAlign w:val="center"/>
            <w:shd w:fill="1F4E79"/>
          </w:tcPr>
          <w:p>
            <w:r/>
            <w:r>
              <w:rPr>
                <w:rFonts w:ascii="Calibri" w:hAnsi="Calibri"/>
                <w:b/>
                <w:color w:val="FFFFFF"/>
                <w:sz w:val="13"/>
              </w:rPr>
              <w:t>Status</w:t>
            </w:r>
          </w:p>
        </w:tc>
        <w:tc>
          <w:tcPr>
            <w:tcW w:type="dxa" w:w="3312"/>
            <w:vAlign w:val="center"/>
            <w:shd w:fill="1F4E79"/>
          </w:tcPr>
          <w:p>
            <w:r/>
            <w:r>
              <w:rPr>
                <w:rFonts w:ascii="Calibri" w:hAnsi="Calibri"/>
                <w:b/>
                <w:color w:val="FFFFFF"/>
                <w:sz w:val="13"/>
              </w:rPr>
              <w:t>Recommended Action</w:t>
            </w:r>
          </w:p>
        </w:tc>
      </w:tr>
      <w:tr>
        <w:tc>
          <w:tcPr>
            <w:tcW w:type="dxa" w:w="3456"/>
            <w:vAlign w:val="center"/>
            <w:shd w:fill="F8FBFD"/>
          </w:tcPr>
          <w:p>
            <w:r/>
            <w:r>
              <w:rPr>
                <w:rFonts w:ascii="Calibri" w:hAnsi="Calibri"/>
                <w:b w:val="0"/>
                <w:sz w:val="13"/>
              </w:rPr>
              <w:t>Knowledge architecture is real and separable from mascot/marketing layer.</w:t>
            </w:r>
          </w:p>
        </w:tc>
        <w:tc>
          <w:tcPr>
            <w:tcW w:type="dxa" w:w="3312"/>
            <w:vAlign w:val="center"/>
            <w:shd w:fill="F8FBFD"/>
          </w:tcPr>
          <w:p>
            <w:r/>
            <w:r>
              <w:rPr>
                <w:rFonts w:ascii="Calibri" w:hAnsi="Calibri"/>
                <w:b w:val="0"/>
                <w:sz w:val="13"/>
              </w:rPr>
              <w:t>Confirmed from EILA OS V3 freeze, pasted worker bundle, D1 schema, and Cloudflare screenshots.</w:t>
            </w:r>
          </w:p>
        </w:tc>
        <w:tc>
          <w:tcPr>
            <w:tcW w:type="dxa" w:w="3312"/>
            <w:vAlign w:val="center"/>
            <w:shd w:fill="F8FBFD"/>
          </w:tcPr>
          <w:p>
            <w:r/>
            <w:r>
              <w:rPr>
                <w:rFonts w:ascii="Calibri" w:hAnsi="Calibri"/>
                <w:b w:val="0"/>
                <w:sz w:val="13"/>
              </w:rPr>
              <w:t>Package as Audit 05: Knowledge Architecture / University Research Program.</w:t>
            </w:r>
          </w:p>
        </w:tc>
      </w:tr>
      <w:tr>
        <w:tc>
          <w:tcPr>
            <w:tcW w:type="dxa" w:w="3456"/>
            <w:vAlign w:val="center"/>
          </w:tcPr>
          <w:p>
            <w:r/>
            <w:r>
              <w:rPr>
                <w:rFonts w:ascii="Calibri" w:hAnsi="Calibri"/>
                <w:b w:val="0"/>
                <w:sz w:val="13"/>
              </w:rPr>
              <w:t>V3 is a cleaner controller architecture than the older V2 branch family.</w:t>
            </w:r>
          </w:p>
        </w:tc>
        <w:tc>
          <w:tcPr>
            <w:tcW w:type="dxa" w:w="3312"/>
            <w:vAlign w:val="center"/>
          </w:tcPr>
          <w:p>
            <w:r/>
            <w:r>
              <w:rPr>
                <w:rFonts w:ascii="Calibri" w:hAnsi="Calibri"/>
                <w:b w:val="0"/>
                <w:sz w:val="13"/>
              </w:rPr>
              <w:t>Confirmed in V3 role ownership names: General Chaos, Agent K, The Dude, Azrael, Judge Judy, General Disarray, Trace Hound.</w:t>
            </w:r>
          </w:p>
        </w:tc>
        <w:tc>
          <w:tcPr>
            <w:tcW w:type="dxa" w:w="3312"/>
            <w:vAlign w:val="center"/>
          </w:tcPr>
          <w:p>
            <w:r/>
            <w:r>
              <w:rPr>
                <w:rFonts w:ascii="Calibri" w:hAnsi="Calibri"/>
                <w:b w:val="0"/>
                <w:sz w:val="13"/>
              </w:rPr>
              <w:t>Treat V3 as the light controller pack; bind or bridge it into newer EILA systems.</w:t>
            </w:r>
          </w:p>
        </w:tc>
      </w:tr>
      <w:tr>
        <w:tc>
          <w:tcPr>
            <w:tcW w:type="dxa" w:w="3456"/>
            <w:vAlign w:val="center"/>
            <w:shd w:fill="F8FBFD"/>
          </w:tcPr>
          <w:p>
            <w:r/>
            <w:r>
              <w:rPr>
                <w:rFonts w:ascii="Calibri" w:hAnsi="Calibri"/>
                <w:b w:val="0"/>
                <w:sz w:val="13"/>
              </w:rPr>
              <w:t>D1 graph is the highest-value research artifact.</w:t>
            </w:r>
          </w:p>
        </w:tc>
        <w:tc>
          <w:tcPr>
            <w:tcW w:type="dxa" w:w="3312"/>
            <w:vAlign w:val="center"/>
            <w:shd w:fill="F8FBFD"/>
          </w:tcPr>
          <w:p>
            <w:r/>
            <w:r>
              <w:rPr>
                <w:rFonts w:ascii="Calibri" w:hAnsi="Calibri"/>
                <w:b w:val="0"/>
                <w:sz w:val="13"/>
              </w:rPr>
              <w:t>Confirmed by schema and export view.</w:t>
            </w:r>
          </w:p>
        </w:tc>
        <w:tc>
          <w:tcPr>
            <w:tcW w:type="dxa" w:w="3312"/>
            <w:vAlign w:val="center"/>
            <w:shd w:fill="F8FBFD"/>
          </w:tcPr>
          <w:p>
            <w:r/>
            <w:r>
              <w:rPr>
                <w:rFonts w:ascii="Calibri" w:hAnsi="Calibri"/>
                <w:b w:val="0"/>
                <w:sz w:val="13"/>
              </w:rPr>
              <w:t>Prioritize graph viewer, export samples, and demo card deck.</w:t>
            </w:r>
          </w:p>
        </w:tc>
      </w:tr>
      <w:tr>
        <w:tc>
          <w:tcPr>
            <w:tcW w:type="dxa" w:w="3456"/>
            <w:vAlign w:val="center"/>
          </w:tcPr>
          <w:p>
            <w:r/>
            <w:r>
              <w:rPr>
                <w:rFonts w:ascii="Calibri" w:hAnsi="Calibri"/>
                <w:b w:val="0"/>
                <w:sz w:val="13"/>
              </w:rPr>
              <w:t>Runtime currently has public/demo surfaces and internal signed surfaces.</w:t>
            </w:r>
          </w:p>
        </w:tc>
        <w:tc>
          <w:tcPr>
            <w:tcW w:type="dxa" w:w="3312"/>
            <w:vAlign w:val="center"/>
          </w:tcPr>
          <w:p>
            <w:r/>
            <w:r>
              <w:rPr>
                <w:rFonts w:ascii="Calibri" w:hAnsi="Calibri"/>
                <w:b w:val="0"/>
                <w:sz w:val="13"/>
              </w:rPr>
              <w:t>Confirmed by source contracts and HMAC functions.</w:t>
            </w:r>
          </w:p>
        </w:tc>
        <w:tc>
          <w:tcPr>
            <w:tcW w:type="dxa" w:w="3312"/>
            <w:vAlign w:val="center"/>
          </w:tcPr>
          <w:p>
            <w:r/>
            <w:r>
              <w:rPr>
                <w:rFonts w:ascii="Calibri" w:hAnsi="Calibri"/>
                <w:b w:val="0"/>
                <w:sz w:val="13"/>
              </w:rPr>
              <w:t>Harden with auth on dashboards, rotate secrets, isolate research sandbox.</w:t>
            </w:r>
          </w:p>
        </w:tc>
      </w:tr>
      <w:tr>
        <w:tc>
          <w:tcPr>
            <w:tcW w:type="dxa" w:w="3456"/>
            <w:vAlign w:val="center"/>
            <w:shd w:fill="F8FBFD"/>
          </w:tcPr>
          <w:p>
            <w:r/>
            <w:r>
              <w:rPr>
                <w:rFonts w:ascii="Calibri" w:hAnsi="Calibri"/>
                <w:b w:val="0"/>
                <w:sz w:val="13"/>
              </w:rPr>
              <w:t>Some older V1/V2 agents remain live and useful as callable modules.</w:t>
            </w:r>
          </w:p>
        </w:tc>
        <w:tc>
          <w:tcPr>
            <w:tcW w:type="dxa" w:w="3312"/>
            <w:vAlign w:val="center"/>
            <w:shd w:fill="F8FBFD"/>
          </w:tcPr>
          <w:p>
            <w:r/>
            <w:r>
              <w:rPr>
                <w:rFonts w:ascii="Calibri" w:hAnsi="Calibri"/>
                <w:b w:val="0"/>
                <w:sz w:val="13"/>
              </w:rPr>
              <w:t>Observed through bindings and screenshots.</w:t>
            </w:r>
          </w:p>
        </w:tc>
        <w:tc>
          <w:tcPr>
            <w:tcW w:type="dxa" w:w="3312"/>
            <w:vAlign w:val="center"/>
            <w:shd w:fill="F8FBFD"/>
          </w:tcPr>
          <w:p>
            <w:r/>
            <w:r>
              <w:rPr>
                <w:rFonts w:ascii="Calibri" w:hAnsi="Calibri"/>
                <w:b w:val="0"/>
                <w:sz w:val="13"/>
              </w:rPr>
              <w:t>Catalog them, then either retire, bridge, or wrap behind V3 envelopes.</w:t>
            </w:r>
          </w:p>
        </w:tc>
      </w:tr>
    </w:tbl>
    <w:p>
      <w:pPr>
        <w:pStyle w:val="Heading1"/>
        <w:jc w:val="left"/>
      </w:pPr>
      <w:r>
        <w:rPr>
          <w:b/>
          <w:color w:val="1F4E79"/>
        </w:rPr>
        <w:t>9. Build Plan for the Research Demo</w:t>
      </w:r>
    </w:p>
    <w:p>
      <w:pPr>
        <w:pStyle w:val="ListBullet"/>
        <w:spacing w:after="20"/>
      </w:pPr>
      <w:r>
        <w:rPr>
          <w:sz w:val="17"/>
        </w:rPr>
        <w:t>Create a sample run endpoint with one bounded objective and a fixed set of strategies.</w:t>
      </w:r>
    </w:p>
    <w:p>
      <w:pPr>
        <w:pStyle w:val="ListBullet"/>
        <w:spacing w:after="20"/>
      </w:pPr>
      <w:r>
        <w:rPr>
          <w:sz w:val="17"/>
        </w:rPr>
        <w:t>Export the resulting mapping cards as cards.json and cards.csv through Trace Hound.</w:t>
      </w:r>
    </w:p>
    <w:p>
      <w:pPr>
        <w:pStyle w:val="ListBullet"/>
        <w:spacing w:after="20"/>
      </w:pPr>
      <w:r>
        <w:rPr>
          <w:sz w:val="17"/>
        </w:rPr>
        <w:t>Build a small read-only graph viewer: runs -&gt; nodes -&gt; edges -&gt; notes -&gt; score/confidence.</w:t>
      </w:r>
    </w:p>
    <w:p>
      <w:pPr>
        <w:pStyle w:val="ListBullet"/>
        <w:spacing w:after="20"/>
      </w:pPr>
      <w:r>
        <w:rPr>
          <w:sz w:val="17"/>
        </w:rPr>
        <w:t>Add a “student mode” run profile: limited depth, limited workers, no production side effects.</w:t>
      </w:r>
    </w:p>
    <w:p>
      <w:pPr>
        <w:pStyle w:val="ListBullet"/>
        <w:spacing w:after="20"/>
      </w:pPr>
      <w:r>
        <w:rPr>
          <w:sz w:val="17"/>
        </w:rPr>
        <w:t>Create before/after cards showing how verifier changes alter final resolution behavior.</w:t>
      </w:r>
    </w:p>
    <w:p>
      <w:pPr>
        <w:pStyle w:val="ListBullet"/>
        <w:spacing w:after="20"/>
      </w:pPr>
      <w:r>
        <w:rPr>
          <w:sz w:val="17"/>
        </w:rPr>
        <w:t>Preserve the V3 controller as a deployable light pack that can be bound into EILA, Factory XYZ, Allie AI, or CRM automations.</w:t>
      </w:r>
    </w:p>
    <w:p>
      <w:pPr>
        <w:pStyle w:val="Heading1"/>
        <w:jc w:val="left"/>
      </w:pPr>
      <w:r>
        <w:rPr>
          <w:b/>
          <w:color w:val="1F4E79"/>
        </w:rPr>
        <w:t>Appendix A - Source Evidence Used</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center"/>
            <w:shd w:fill="1F4E79"/>
          </w:tcPr>
          <w:p>
            <w:r/>
            <w:r>
              <w:rPr>
                <w:rFonts w:ascii="Calibri" w:hAnsi="Calibri"/>
                <w:b/>
                <w:color w:val="FFFFFF"/>
                <w:sz w:val="14"/>
              </w:rPr>
              <w:t>Evidence</w:t>
            </w:r>
          </w:p>
        </w:tc>
        <w:tc>
          <w:tcPr>
            <w:tcW w:type="dxa" w:w="3168"/>
            <w:vAlign w:val="center"/>
            <w:shd w:fill="1F4E79"/>
          </w:tcPr>
          <w:p>
            <w:r/>
            <w:r>
              <w:rPr>
                <w:rFonts w:ascii="Calibri" w:hAnsi="Calibri"/>
                <w:b/>
                <w:color w:val="FFFFFF"/>
                <w:sz w:val="14"/>
              </w:rPr>
              <w:t>File / Source</w:t>
            </w:r>
          </w:p>
        </w:tc>
        <w:tc>
          <w:tcPr>
            <w:tcW w:type="dxa" w:w="4320"/>
            <w:vAlign w:val="center"/>
            <w:shd w:fill="1F4E79"/>
          </w:tcPr>
          <w:p>
            <w:r/>
            <w:r>
              <w:rPr>
                <w:rFonts w:ascii="Calibri" w:hAnsi="Calibri"/>
                <w:b/>
                <w:color w:val="FFFFFF"/>
                <w:sz w:val="14"/>
              </w:rPr>
              <w:t>What It Contributes</w:t>
            </w:r>
          </w:p>
        </w:tc>
      </w:tr>
      <w:tr>
        <w:tc>
          <w:tcPr>
            <w:tcW w:type="dxa" w:w="2160"/>
            <w:vAlign w:val="center"/>
            <w:shd w:fill="F8FBFD"/>
          </w:tcPr>
          <w:p>
            <w:r/>
            <w:r>
              <w:rPr>
                <w:rFonts w:ascii="Calibri" w:hAnsi="Calibri"/>
                <w:b w:val="0"/>
                <w:sz w:val="14"/>
              </w:rPr>
              <w:t>EILA OS V3 source freeze</w:t>
            </w:r>
          </w:p>
        </w:tc>
        <w:tc>
          <w:tcPr>
            <w:tcW w:type="dxa" w:w="3168"/>
            <w:vAlign w:val="center"/>
            <w:shd w:fill="F8FBFD"/>
          </w:tcPr>
          <w:p>
            <w:r/>
            <w:r>
              <w:rPr>
                <w:rFonts w:ascii="Calibri" w:hAnsi="Calibri"/>
                <w:b w:val="0"/>
                <w:sz w:val="14"/>
              </w:rPr>
              <w:t>Eila-os-v3-freeze--main.zip</w:t>
            </w:r>
          </w:p>
        </w:tc>
        <w:tc>
          <w:tcPr>
            <w:tcW w:type="dxa" w:w="4320"/>
            <w:vAlign w:val="center"/>
            <w:shd w:fill="F8FBFD"/>
          </w:tcPr>
          <w:p>
            <w:r/>
            <w:r>
              <w:rPr>
                <w:rFonts w:ascii="Calibri" w:hAnsi="Calibri"/>
                <w:b w:val="0"/>
                <w:sz w:val="14"/>
              </w:rPr>
              <w:t>README, D1 schema, role naming, RunCoordinator, queue runner, export worker.</w:t>
            </w:r>
          </w:p>
        </w:tc>
      </w:tr>
      <w:tr>
        <w:tc>
          <w:tcPr>
            <w:tcW w:type="dxa" w:w="2160"/>
            <w:vAlign w:val="center"/>
          </w:tcPr>
          <w:p>
            <w:r/>
            <w:r>
              <w:rPr>
                <w:rFonts w:ascii="Calibri" w:hAnsi="Calibri"/>
                <w:b w:val="0"/>
                <w:sz w:val="14"/>
              </w:rPr>
              <w:t>Pasted worker bundle</w:t>
            </w:r>
          </w:p>
        </w:tc>
        <w:tc>
          <w:tcPr>
            <w:tcW w:type="dxa" w:w="3168"/>
            <w:vAlign w:val="center"/>
          </w:tcPr>
          <w:p>
            <w:r/>
            <w:r>
              <w:rPr>
                <w:rFonts w:ascii="Calibri" w:hAnsi="Calibri"/>
                <w:b w:val="0"/>
                <w:sz w:val="14"/>
              </w:rPr>
              <w:t>Pasted text(26).txt</w:t>
            </w:r>
          </w:p>
        </w:tc>
        <w:tc>
          <w:tcPr>
            <w:tcW w:type="dxa" w:w="4320"/>
            <w:vAlign w:val="center"/>
          </w:tcPr>
          <w:p>
            <w:r/>
            <w:r>
              <w:rPr>
                <w:rFonts w:ascii="Calibri" w:hAnsi="Calibri"/>
                <w:b w:val="0"/>
                <w:sz w:val="14"/>
              </w:rPr>
              <w:t>General Chaos V2 naming, mapping crypto, D1 write functions, public worker, export endpoints.</w:t>
            </w:r>
          </w:p>
        </w:tc>
      </w:tr>
      <w:tr>
        <w:tc>
          <w:tcPr>
            <w:tcW w:type="dxa" w:w="2160"/>
            <w:vAlign w:val="center"/>
            <w:shd w:fill="F8FBFD"/>
          </w:tcPr>
          <w:p>
            <w:r/>
            <w:r>
              <w:rPr>
                <w:rFonts w:ascii="Calibri" w:hAnsi="Calibri"/>
                <w:b w:val="0"/>
                <w:sz w:val="14"/>
              </w:rPr>
              <w:t>Cloudflare screenshots</w:t>
            </w:r>
          </w:p>
        </w:tc>
        <w:tc>
          <w:tcPr>
            <w:tcW w:type="dxa" w:w="3168"/>
            <w:vAlign w:val="center"/>
            <w:shd w:fill="F8FBFD"/>
          </w:tcPr>
          <w:p>
            <w:r/>
            <w:r>
              <w:rPr>
                <w:rFonts w:ascii="Calibri" w:hAnsi="Calibri"/>
                <w:b w:val="0"/>
                <w:sz w:val="14"/>
              </w:rPr>
              <w:t>Uploaded PNG screenshots</w:t>
            </w:r>
          </w:p>
        </w:tc>
        <w:tc>
          <w:tcPr>
            <w:tcW w:type="dxa" w:w="4320"/>
            <w:vAlign w:val="center"/>
            <w:shd w:fill="F8FBFD"/>
          </w:tcPr>
          <w:p>
            <w:r/>
            <w:r>
              <w:rPr>
                <w:rFonts w:ascii="Calibri" w:hAnsi="Calibri"/>
                <w:b w:val="0"/>
                <w:sz w:val="14"/>
              </w:rPr>
              <w:t>Bindings, Workers, Queues, Durable Objects, D1 table visibility, live worker states.</w:t>
            </w:r>
          </w:p>
        </w:tc>
      </w:tr>
      <w:tr>
        <w:tc>
          <w:tcPr>
            <w:tcW w:type="dxa" w:w="2160"/>
            <w:vAlign w:val="center"/>
          </w:tcPr>
          <w:p>
            <w:r/>
            <w:r>
              <w:rPr>
                <w:rFonts w:ascii="Calibri" w:hAnsi="Calibri"/>
                <w:b w:val="0"/>
                <w:sz w:val="14"/>
              </w:rPr>
              <w:t>Agent visual system</w:t>
            </w:r>
          </w:p>
        </w:tc>
        <w:tc>
          <w:tcPr>
            <w:tcW w:type="dxa" w:w="3168"/>
            <w:vAlign w:val="center"/>
          </w:tcPr>
          <w:p>
            <w:r/>
            <w:r>
              <w:rPr>
                <w:rFonts w:ascii="Calibri" w:hAnsi="Calibri"/>
                <w:b w:val="0"/>
                <w:sz w:val="14"/>
              </w:rPr>
              <w:t>EILA OS image and prior agent cards</w:t>
            </w:r>
          </w:p>
        </w:tc>
        <w:tc>
          <w:tcPr>
            <w:tcW w:type="dxa" w:w="4320"/>
            <w:vAlign w:val="center"/>
          </w:tcPr>
          <w:p>
            <w:r/>
            <w:r>
              <w:rPr>
                <w:rFonts w:ascii="Calibri" w:hAnsi="Calibri"/>
                <w:b w:val="0"/>
                <w:sz w:val="14"/>
              </w:rPr>
              <w:t>Pitch-facing identity layer for research/university package.</w:t>
            </w:r>
          </w:p>
        </w:tc>
      </w:tr>
    </w:tbl>
    <w:sectPr w:rsidR="00FC693F" w:rsidRPr="0006063C" w:rsidSect="00034616">
      <w:footerReference w:type="default" r:id="rId15"/>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4"/>
      </w:rPr>
      <w:t>XYZ Labs - Audit 05 Knowledge Architecture - Research Program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Small"/>
    <w:pPr>
      <w:spacing w:after="40"/>
    </w:pPr>
    <w:rPr>
      <w:rFonts w:ascii="Calibri" w:hAnsi="Calibr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