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BB2E1" w14:textId="579AA6E2" w:rsidR="0041799E" w:rsidRDefault="000866C0" w:rsidP="0041799E">
      <w:pPr>
        <w:jc w:val="center"/>
        <w:rPr>
          <w:rFonts w:ascii="微软雅黑" w:eastAsia="微软雅黑" w:hAnsi="微软雅黑"/>
          <w:b/>
          <w:sz w:val="32"/>
        </w:rPr>
      </w:pPr>
      <w:bookmarkStart w:id="0" w:name="_GoBack"/>
      <w:bookmarkEnd w:id="0"/>
      <w:r w:rsidRPr="000866C0">
        <w:rPr>
          <w:rFonts w:ascii="微软雅黑" w:eastAsia="微软雅黑" w:hAnsi="微软雅黑" w:hint="eastAsia"/>
          <w:b/>
          <w:sz w:val="32"/>
        </w:rPr>
        <w:t>下阶梯与心理预期作用</w:t>
      </w:r>
    </w:p>
    <w:p w14:paraId="1BAA1A50" w14:textId="00406E76" w:rsidR="007A6710" w:rsidRPr="006204C9" w:rsidRDefault="0041799E">
      <w:pPr>
        <w:rPr>
          <w:rFonts w:ascii="微软雅黑" w:eastAsia="微软雅黑" w:hAnsi="微软雅黑"/>
          <w:b/>
          <w:sz w:val="24"/>
        </w:rPr>
      </w:pPr>
      <w:r w:rsidRPr="006204C9">
        <w:rPr>
          <w:rFonts w:ascii="微软雅黑" w:eastAsia="微软雅黑" w:hAnsi="微软雅黑"/>
          <w:b/>
          <w:sz w:val="24"/>
        </w:rPr>
        <w:t>1.</w:t>
      </w:r>
      <w:r w:rsidR="0079691B">
        <w:rPr>
          <w:rFonts w:ascii="微软雅黑" w:eastAsia="微软雅黑" w:hAnsi="微软雅黑" w:hint="eastAsia"/>
          <w:b/>
          <w:sz w:val="24"/>
        </w:rPr>
        <w:t>马太效应与良性循环</w:t>
      </w:r>
    </w:p>
    <w:p w14:paraId="67C027DB" w14:textId="2CDEFB47" w:rsidR="005E15A2" w:rsidRPr="006204C9" w:rsidRDefault="0079691B" w:rsidP="007A6710">
      <w:pPr>
        <w:ind w:firstLineChars="200" w:firstLine="48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sz w:val="24"/>
        </w:rPr>
        <w:t>1.构成良性循环的基本要素分析</w:t>
      </w:r>
      <w:r w:rsidR="00A31CD2">
        <w:rPr>
          <w:rFonts w:ascii="微软雅黑" w:eastAsia="微软雅黑" w:hAnsi="微软雅黑" w:hint="eastAsia"/>
          <w:sz w:val="24"/>
        </w:rPr>
        <w:t>，与复利概念的关系</w:t>
      </w:r>
      <w:r>
        <w:rPr>
          <w:rFonts w:ascii="微软雅黑" w:eastAsia="微软雅黑" w:hAnsi="微软雅黑" w:hint="eastAsia"/>
          <w:sz w:val="24"/>
        </w:rPr>
        <w:t xml:space="preserve"> </w:t>
      </w:r>
      <w:r>
        <w:rPr>
          <w:rFonts w:ascii="微软雅黑" w:eastAsia="微软雅黑" w:hAnsi="微软雅黑"/>
          <w:sz w:val="24"/>
        </w:rPr>
        <w:t>2</w:t>
      </w:r>
      <w:r>
        <w:rPr>
          <w:rFonts w:ascii="微软雅黑" w:eastAsia="微软雅黑" w:hAnsi="微软雅黑" w:hint="eastAsia"/>
          <w:sz w:val="24"/>
        </w:rPr>
        <w:t>.</w:t>
      </w:r>
      <w:r w:rsidR="009D55DD">
        <w:rPr>
          <w:rFonts w:ascii="微软雅黑" w:eastAsia="微软雅黑" w:hAnsi="微软雅黑" w:hint="eastAsia"/>
          <w:sz w:val="24"/>
        </w:rPr>
        <w:t>马太效应是否具备增长极限3.</w:t>
      </w:r>
      <w:r>
        <w:rPr>
          <w:rFonts w:ascii="微软雅黑" w:eastAsia="微软雅黑" w:hAnsi="微软雅黑" w:hint="eastAsia"/>
          <w:sz w:val="24"/>
        </w:rPr>
        <w:t>如何进入良性循环</w:t>
      </w:r>
      <w:r w:rsidR="00C60125">
        <w:rPr>
          <w:rFonts w:ascii="微软雅黑" w:eastAsia="微软雅黑" w:hAnsi="微软雅黑" w:hint="eastAsia"/>
          <w:sz w:val="24"/>
        </w:rPr>
        <w:t>4.马太效应的应用范围(主要关注抽象范围，如提升个人思考效率、学习效率等</w:t>
      </w:r>
      <w:r w:rsidR="00C60125">
        <w:rPr>
          <w:rFonts w:ascii="微软雅黑" w:eastAsia="微软雅黑" w:hAnsi="微软雅黑"/>
          <w:sz w:val="24"/>
        </w:rPr>
        <w:t>)</w:t>
      </w:r>
      <w:r w:rsidR="0041799E" w:rsidRPr="00086ECA">
        <w:rPr>
          <w:rFonts w:ascii="微软雅黑" w:eastAsia="微软雅黑" w:hAnsi="微软雅黑"/>
          <w:sz w:val="24"/>
        </w:rPr>
        <w:br/>
      </w:r>
      <w:r w:rsidR="0041799E" w:rsidRPr="006204C9">
        <w:rPr>
          <w:rFonts w:ascii="微软雅黑" w:eastAsia="微软雅黑" w:hAnsi="微软雅黑"/>
          <w:b/>
          <w:sz w:val="24"/>
        </w:rPr>
        <w:t>2.</w:t>
      </w:r>
      <w:r w:rsidR="00D228F3">
        <w:rPr>
          <w:rFonts w:ascii="微软雅黑" w:eastAsia="微软雅黑" w:hAnsi="微软雅黑" w:hint="eastAsia"/>
          <w:b/>
          <w:sz w:val="24"/>
        </w:rPr>
        <w:t>单向阀</w:t>
      </w:r>
    </w:p>
    <w:p w14:paraId="51C5F09F" w14:textId="50426286" w:rsidR="005E15A2" w:rsidRPr="006204C9" w:rsidRDefault="00D228F3" w:rsidP="007A6710">
      <w:pPr>
        <w:ind w:firstLineChars="200" w:firstLine="48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sz w:val="24"/>
        </w:rPr>
        <w:t>1.单向阀的基本原理(不同类型的单向阀，液体单向阀、泥鳅捕捉器</w:t>
      </w:r>
      <w:r>
        <w:rPr>
          <w:rFonts w:ascii="微软雅黑" w:eastAsia="微软雅黑" w:hAnsi="微软雅黑"/>
          <w:sz w:val="24"/>
        </w:rPr>
        <w:t>)2</w:t>
      </w:r>
      <w:r>
        <w:rPr>
          <w:rFonts w:ascii="微软雅黑" w:eastAsia="微软雅黑" w:hAnsi="微软雅黑" w:hint="eastAsia"/>
          <w:sz w:val="24"/>
        </w:rPr>
        <w:t>.构成单向阀的基本要素与条件3.单向阀的应用范围(主要关注抽象范围，如资金流、思想流等</w:t>
      </w:r>
      <w:r>
        <w:rPr>
          <w:rFonts w:ascii="微软雅黑" w:eastAsia="微软雅黑" w:hAnsi="微软雅黑"/>
          <w:sz w:val="24"/>
        </w:rPr>
        <w:t>)</w:t>
      </w:r>
      <w:r w:rsidR="0041799E" w:rsidRPr="00086ECA">
        <w:rPr>
          <w:rFonts w:ascii="微软雅黑" w:eastAsia="微软雅黑" w:hAnsi="微软雅黑"/>
          <w:sz w:val="24"/>
        </w:rPr>
        <w:t>。</w:t>
      </w:r>
      <w:r w:rsidR="0041799E" w:rsidRPr="00086ECA">
        <w:rPr>
          <w:rFonts w:ascii="微软雅黑" w:eastAsia="微软雅黑" w:hAnsi="微软雅黑"/>
          <w:sz w:val="24"/>
        </w:rPr>
        <w:br/>
      </w:r>
      <w:r w:rsidR="0041799E" w:rsidRPr="006204C9">
        <w:rPr>
          <w:rFonts w:ascii="微软雅黑" w:eastAsia="微软雅黑" w:hAnsi="微软雅黑"/>
          <w:b/>
          <w:sz w:val="24"/>
        </w:rPr>
        <w:t>3.</w:t>
      </w:r>
      <w:r w:rsidR="009D55DD">
        <w:rPr>
          <w:rFonts w:ascii="微软雅黑" w:eastAsia="微软雅黑" w:hAnsi="微软雅黑" w:hint="eastAsia"/>
          <w:b/>
          <w:sz w:val="24"/>
        </w:rPr>
        <w:t>马太效应与单向阀的异同</w:t>
      </w:r>
    </w:p>
    <w:p w14:paraId="31ACEB77" w14:textId="77777777" w:rsidR="005E15A2" w:rsidRPr="006204C9" w:rsidRDefault="0041799E" w:rsidP="007A6710">
      <w:pPr>
        <w:ind w:firstLineChars="200" w:firstLine="480"/>
        <w:rPr>
          <w:rFonts w:ascii="微软雅黑" w:eastAsia="微软雅黑" w:hAnsi="微软雅黑"/>
          <w:b/>
          <w:sz w:val="24"/>
        </w:rPr>
      </w:pPr>
      <w:r w:rsidRPr="00086ECA">
        <w:rPr>
          <w:rFonts w:ascii="微软雅黑" w:eastAsia="微软雅黑" w:hAnsi="微软雅黑"/>
          <w:sz w:val="24"/>
        </w:rPr>
        <w:t>当下处理的存放PC，</w:t>
      </w:r>
      <w:proofErr w:type="gramStart"/>
      <w:r w:rsidRPr="00086ECA">
        <w:rPr>
          <w:rFonts w:ascii="微软雅黑" w:eastAsia="微软雅黑" w:hAnsi="微软雅黑"/>
          <w:sz w:val="24"/>
        </w:rPr>
        <w:t>网盘开辟</w:t>
      </w:r>
      <w:proofErr w:type="gramEnd"/>
      <w:r w:rsidRPr="00086ECA">
        <w:rPr>
          <w:rFonts w:ascii="微软雅黑" w:eastAsia="微软雅黑" w:hAnsi="微软雅黑"/>
          <w:sz w:val="24"/>
        </w:rPr>
        <w:t>工作文件夹（含私人信息)，视情存放。处理完成的存放移动硬盘及，部分视情存放PC，</w:t>
      </w:r>
      <w:proofErr w:type="gramStart"/>
      <w:r w:rsidRPr="00086ECA">
        <w:rPr>
          <w:rFonts w:ascii="微软雅黑" w:eastAsia="微软雅黑" w:hAnsi="微软雅黑"/>
          <w:sz w:val="24"/>
        </w:rPr>
        <w:t>清除网盘内容</w:t>
      </w:r>
      <w:proofErr w:type="gramEnd"/>
      <w:r w:rsidRPr="00086ECA">
        <w:rPr>
          <w:rFonts w:ascii="微软雅黑" w:eastAsia="微软雅黑" w:hAnsi="微软雅黑"/>
          <w:sz w:val="24"/>
        </w:rPr>
        <w:t>，不</w:t>
      </w:r>
      <w:proofErr w:type="gramStart"/>
      <w:r w:rsidRPr="00086ECA">
        <w:rPr>
          <w:rFonts w:ascii="微软雅黑" w:eastAsia="微软雅黑" w:hAnsi="微软雅黑"/>
          <w:sz w:val="24"/>
        </w:rPr>
        <w:t>与网盘同</w:t>
      </w:r>
      <w:proofErr w:type="gramEnd"/>
      <w:r w:rsidRPr="00086ECA">
        <w:rPr>
          <w:rFonts w:ascii="微软雅黑" w:eastAsia="微软雅黑" w:hAnsi="微软雅黑"/>
          <w:sz w:val="24"/>
        </w:rPr>
        <w:t>步，移动硬盘为备份，不加密。文件以移动硬盘为准。</w:t>
      </w:r>
      <w:r w:rsidRPr="00086ECA">
        <w:rPr>
          <w:rFonts w:ascii="微软雅黑" w:eastAsia="微软雅黑" w:hAnsi="微软雅黑"/>
          <w:sz w:val="24"/>
        </w:rPr>
        <w:br/>
      </w:r>
      <w:r w:rsidRPr="006204C9">
        <w:rPr>
          <w:rFonts w:ascii="微软雅黑" w:eastAsia="微软雅黑" w:hAnsi="微软雅黑"/>
          <w:b/>
          <w:sz w:val="24"/>
        </w:rPr>
        <w:t>4.私人文件（生活照片等)</w:t>
      </w:r>
    </w:p>
    <w:p w14:paraId="51D1F6B1" w14:textId="77777777" w:rsidR="005E15A2" w:rsidRPr="006204C9" w:rsidRDefault="0041799E" w:rsidP="007A6710">
      <w:pPr>
        <w:ind w:firstLineChars="200" w:firstLine="480"/>
        <w:rPr>
          <w:rFonts w:ascii="微软雅黑" w:eastAsia="微软雅黑" w:hAnsi="微软雅黑"/>
          <w:b/>
          <w:sz w:val="24"/>
        </w:rPr>
      </w:pPr>
      <w:r w:rsidRPr="00086ECA">
        <w:rPr>
          <w:rFonts w:ascii="微软雅黑" w:eastAsia="微软雅黑" w:hAnsi="微软雅黑"/>
          <w:sz w:val="24"/>
        </w:rPr>
        <w:t>当下处理的存放PC。处理完成的一律存放移动硬盘，部分视情存放PC，不</w:t>
      </w:r>
      <w:proofErr w:type="gramStart"/>
      <w:r w:rsidRPr="00086ECA">
        <w:rPr>
          <w:rFonts w:ascii="微软雅黑" w:eastAsia="微软雅黑" w:hAnsi="微软雅黑"/>
          <w:sz w:val="24"/>
        </w:rPr>
        <w:t>与网盘及</w:t>
      </w:r>
      <w:proofErr w:type="gramEnd"/>
      <w:r w:rsidRPr="00086ECA">
        <w:rPr>
          <w:rFonts w:ascii="微软雅黑" w:eastAsia="微软雅黑" w:hAnsi="微软雅黑"/>
          <w:sz w:val="24"/>
        </w:rPr>
        <w:t>PC同步，视情U盘备份，不加密，文件以移动硬盘为准。</w:t>
      </w:r>
      <w:r w:rsidRPr="00086ECA">
        <w:rPr>
          <w:rFonts w:ascii="微软雅黑" w:eastAsia="微软雅黑" w:hAnsi="微软雅黑"/>
          <w:sz w:val="24"/>
        </w:rPr>
        <w:br/>
      </w:r>
      <w:r w:rsidRPr="006204C9">
        <w:rPr>
          <w:rFonts w:ascii="微软雅黑" w:eastAsia="微软雅黑" w:hAnsi="微软雅黑"/>
          <w:b/>
          <w:sz w:val="24"/>
        </w:rPr>
        <w:t>5.隐私文件（需加密，银行信息)</w:t>
      </w:r>
    </w:p>
    <w:p w14:paraId="7EF1C28F" w14:textId="77777777" w:rsidR="0041799E" w:rsidRPr="006204C9" w:rsidRDefault="0041799E" w:rsidP="007A6710">
      <w:pPr>
        <w:ind w:firstLineChars="200" w:firstLine="480"/>
        <w:rPr>
          <w:rFonts w:ascii="微软雅黑" w:eastAsia="微软雅黑" w:hAnsi="微软雅黑"/>
          <w:b/>
          <w:sz w:val="24"/>
        </w:rPr>
      </w:pPr>
      <w:r w:rsidRPr="00086ECA">
        <w:rPr>
          <w:rFonts w:ascii="微软雅黑" w:eastAsia="微软雅黑" w:hAnsi="微软雅黑"/>
          <w:sz w:val="24"/>
        </w:rPr>
        <w:t>当下处理的存放PC。处理完成的一律存放移动硬盘，部分视情存放PC，不</w:t>
      </w:r>
      <w:proofErr w:type="gramStart"/>
      <w:r w:rsidRPr="00086ECA">
        <w:rPr>
          <w:rFonts w:ascii="微软雅黑" w:eastAsia="微软雅黑" w:hAnsi="微软雅黑"/>
          <w:sz w:val="24"/>
        </w:rPr>
        <w:t>与网盘及</w:t>
      </w:r>
      <w:proofErr w:type="gramEnd"/>
      <w:r w:rsidRPr="00086ECA">
        <w:rPr>
          <w:rFonts w:ascii="微软雅黑" w:eastAsia="微软雅黑" w:hAnsi="微软雅黑"/>
          <w:sz w:val="24"/>
        </w:rPr>
        <w:t>PC同步，U盘备份，加密。文件以移动硬盘及U盘为准。</w:t>
      </w:r>
      <w:r w:rsidRPr="00086ECA">
        <w:rPr>
          <w:rFonts w:ascii="微软雅黑" w:eastAsia="微软雅黑" w:hAnsi="微软雅黑"/>
          <w:sz w:val="24"/>
        </w:rPr>
        <w:br/>
      </w:r>
      <w:r w:rsidRPr="006204C9">
        <w:rPr>
          <w:rFonts w:ascii="微软雅黑" w:eastAsia="微软雅黑" w:hAnsi="微软雅黑"/>
          <w:b/>
          <w:sz w:val="24"/>
        </w:rPr>
        <w:t>6.大硬盘低频使用，仅作存档。小硬盘为日常使用硬盘。</w:t>
      </w:r>
      <w:r w:rsidRPr="006204C9">
        <w:rPr>
          <w:rFonts w:ascii="微软雅黑" w:eastAsia="微软雅黑" w:hAnsi="微软雅黑"/>
          <w:b/>
          <w:sz w:val="24"/>
        </w:rPr>
        <w:br/>
        <w:t>7.过程文件尽可能标时间，已完成文件</w:t>
      </w:r>
      <w:r w:rsidRPr="006204C9">
        <w:rPr>
          <w:rFonts w:ascii="微软雅黑" w:eastAsia="微软雅黑" w:hAnsi="微软雅黑"/>
          <w:b/>
          <w:sz w:val="24"/>
        </w:rPr>
        <w:br/>
        <w:t>8.存储区域包含:PC、移动硬盘、 U盘 、</w:t>
      </w:r>
      <w:proofErr w:type="spellStart"/>
      <w:r w:rsidRPr="006204C9">
        <w:rPr>
          <w:rFonts w:ascii="微软雅黑" w:eastAsia="微软雅黑" w:hAnsi="微软雅黑"/>
          <w:b/>
          <w:sz w:val="24"/>
        </w:rPr>
        <w:t>onedrive</w:t>
      </w:r>
      <w:proofErr w:type="spellEnd"/>
    </w:p>
    <w:sectPr w:rsidR="0041799E" w:rsidRPr="006204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9D6412" w14:textId="77777777" w:rsidR="00F43B76" w:rsidRDefault="00F43B76" w:rsidP="001E4799">
      <w:r>
        <w:separator/>
      </w:r>
    </w:p>
  </w:endnote>
  <w:endnote w:type="continuationSeparator" w:id="0">
    <w:p w14:paraId="6C47D094" w14:textId="77777777" w:rsidR="00F43B76" w:rsidRDefault="00F43B76" w:rsidP="001E4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8A8B5" w14:textId="77777777" w:rsidR="00F43B76" w:rsidRDefault="00F43B76" w:rsidP="001E4799">
      <w:r>
        <w:separator/>
      </w:r>
    </w:p>
  </w:footnote>
  <w:footnote w:type="continuationSeparator" w:id="0">
    <w:p w14:paraId="3B48228D" w14:textId="77777777" w:rsidR="00F43B76" w:rsidRDefault="00F43B76" w:rsidP="001E47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99E"/>
    <w:rsid w:val="000065BD"/>
    <w:rsid w:val="000866C0"/>
    <w:rsid w:val="00086ECA"/>
    <w:rsid w:val="001E4799"/>
    <w:rsid w:val="00382D7E"/>
    <w:rsid w:val="003C03C6"/>
    <w:rsid w:val="0041799E"/>
    <w:rsid w:val="005E15A2"/>
    <w:rsid w:val="006204C9"/>
    <w:rsid w:val="0079691B"/>
    <w:rsid w:val="007A6710"/>
    <w:rsid w:val="009D55DD"/>
    <w:rsid w:val="00A2714C"/>
    <w:rsid w:val="00A31CD2"/>
    <w:rsid w:val="00C24F14"/>
    <w:rsid w:val="00C60125"/>
    <w:rsid w:val="00CE274C"/>
    <w:rsid w:val="00D228F3"/>
    <w:rsid w:val="00DC5A10"/>
    <w:rsid w:val="00E31497"/>
    <w:rsid w:val="00E66148"/>
    <w:rsid w:val="00F43B76"/>
    <w:rsid w:val="00F5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ADC44"/>
  <w15:chartTrackingRefBased/>
  <w15:docId w15:val="{244F936F-D4B3-476A-9688-58E59C93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710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1E47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E479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E47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E47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Machine</dc:creator>
  <cp:keywords/>
  <dc:description/>
  <cp:lastModifiedBy>the Machine</cp:lastModifiedBy>
  <cp:revision>3</cp:revision>
  <dcterms:created xsi:type="dcterms:W3CDTF">2018-10-21T09:49:00Z</dcterms:created>
  <dcterms:modified xsi:type="dcterms:W3CDTF">2018-10-21T09:49:00Z</dcterms:modified>
</cp:coreProperties>
</file>