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/>
          <w:b/>
          <w:color w:val="0F172A"/>
          <w:sz w:val="50"/>
        </w:rPr>
        <w:t>Android App Subscription Monetization Guide</w:t>
      </w:r>
    </w:p>
    <w:p>
      <w:pPr>
        <w:spacing w:before="0" w:after="240" w:line="300" w:lineRule="auto"/>
      </w:pPr>
      <w:r>
        <w:rPr>
          <w:rFonts w:ascii="Calibri" w:hAnsi="Calibri"/>
          <w:color w:val="64748B"/>
          <w:sz w:val="24"/>
        </w:rPr>
        <w:t>A practical checklist for setting up Google Play subscriptions with RevenueCat.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1FF"/>
            <w:tcBorders>
              <w:top w:val="single" w:sz="6" w:space="0" w:color="C7D7FF"/>
              <w:left w:val="single" w:sz="6" w:space="0" w:color="C7D7FF"/>
              <w:bottom w:val="single" w:sz="6" w:space="0" w:color="C7D7FF"/>
              <w:right w:val="single" w:sz="6" w:space="0" w:color="C7D7FF"/>
            </w:tcBorders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F172A"/>
                <w:sz w:val="22"/>
              </w:rPr>
              <w:t>Recommended model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Use a free app download with an in-app subscription. Avoid switching an already-free Google Play app into a paid-upfront app, because that usually requires creating a new app listing.</w:t>
            </w:r>
          </w:p>
        </w:tc>
      </w:tr>
    </w:tbl>
    <w:p/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1. Choose the monetization model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For most modern mobile apps, the safest model is a free download with paid Pro features unlocked by subscription. This keeps acquisition friction low while still giving serious users a path to pay.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Free download: users can install and try the app first.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Subscription: unlocks premium or unlimited behavior inside the app.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Avoid paid-upfront unless the app's value is obvious before install.</w:t>
      </w:r>
    </w:p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2. Add billing support to the app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Google Play may not unlock subscription setup until it sees a build that includes billing support. With RevenueCat, the billing layer is handled through the RevenueCat SDK.</w:t>
      </w:r>
    </w:p>
    <w:p>
      <w:pPr>
        <w:spacing w:before="40" w:after="120" w:line="300" w:lineRule="auto"/>
      </w:pPr>
      <w:r>
        <w:rPr>
          <w:rFonts w:ascii="Consolas" w:hAnsi="Consolas"/>
          <w:color w:val="0F172A"/>
          <w:sz w:val="20"/>
        </w:rPr>
        <w:t>npx expo install react-native-purchases react-native-purchases-ui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Use the Android RevenueCat public SDK key, usually starting with goog_.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Do not place Google service account JSON inside app code.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Do not use the iOS RevenueCat key for Android builds.</w:t>
      </w:r>
    </w:p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3. Create and upload a production Android build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After the billing SDK is installed and configured, create a new Android App Bundle and upload it to Google Play. Internal testing is usually the safest first destination.</w:t>
      </w:r>
    </w:p>
    <w:p>
      <w:pPr>
        <w:spacing w:before="40" w:after="120" w:line="300" w:lineRule="auto"/>
      </w:pPr>
      <w:r>
        <w:rPr>
          <w:rFonts w:ascii="Consolas" w:hAnsi="Consolas"/>
          <w:color w:val="0F172A"/>
          <w:sz w:val="20"/>
        </w:rPr>
        <w:t>eas build -p android --profile production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Upload the .aab to Internal testing, Closed testing, or Production.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Wait for Google Play to process the build.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Return to Products &gt; Subscriptions after processing is complete.</w:t>
      </w:r>
    </w:p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4. Create subscriptions in Google Play Console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In Google Play Console, create stable subscription product IDs. Keep product IDs simple because changing them later can create avoidable cleanup 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EAF1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Area</w:t>
            </w:r>
          </w:p>
        </w:tc>
        <w:tc>
          <w:tcPr>
            <w:tcW w:type="dxa" w:w="6768"/>
            <w:shd w:fill="EAF1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What to check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Monthly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Product ID: monthly. Billing period: 1 month. Example price: $3.99/month. Optional free trial: 7 days.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Yearly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Product ID: yearly. Billing period: 1 year. Example price: $29.99/year. Optional free trial: 7 days.</w:t>
            </w:r>
          </w:p>
        </w:tc>
      </w:tr>
    </w:tbl>
    <w:p/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5. Create the Android app in RevenueCat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In RevenueCat, add a Google Play app under the same project. The package name must match the Android package name exactly.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App type: Google Play.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Package name: com.yourapp.package.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Copy the public SDK key that starts with goog_.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Use that key only for Android.</w:t>
      </w:r>
    </w:p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6. Create Google service account credentials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RevenueCat needs a Google service account JSON file to validate purchases and subscription status with Google Play.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Create a service account in Google Cloud.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Enable Google Play Android Developer API, Google Play Developer Reporting API, and Cloud Pub/Sub API.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Download a JSON key for the service account.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Invite the service account email in Google Play Console under Users and permissions.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Grant app-level permissions for app information, financial data, orders/subscriptions, and store presence.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Upload the JSON file to RevenueCat and save.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1FF"/>
            <w:tcBorders>
              <w:top w:val="single" w:sz="6" w:space="0" w:color="C7D7FF"/>
              <w:left w:val="single" w:sz="6" w:space="0" w:color="C7D7FF"/>
              <w:bottom w:val="single" w:sz="6" w:space="0" w:color="C7D7FF"/>
              <w:right w:val="single" w:sz="6" w:space="0" w:color="C7D7FF"/>
            </w:tcBorders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F172A"/>
                <w:sz w:val="22"/>
              </w:rPr>
              <w:t>Do not ship secrets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The service account JSON belongs in RevenueCat only. Never include it in your app code, repository, or public documentation.</w:t>
            </w:r>
          </w:p>
        </w:tc>
      </w:tr>
    </w:tbl>
    <w:p/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7. Import products into RevenueCat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Once Google Play products exist and credentials are valid, import or create matching products in RevenueCat.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Import monthly and yearly under the Google Play app section.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Attach both products to the same Pro entitlement.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Keep entitlement naming stable and consistent across platforms.</w:t>
      </w:r>
    </w:p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8. Create the default offering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Offerings decide what the paywall presents. Most apps can start with one default offering that contains monthly and annual packages.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EAF1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Area</w:t>
            </w:r>
          </w:p>
        </w:tc>
        <w:tc>
          <w:tcPr>
            <w:tcW w:type="dxa" w:w="6768"/>
            <w:shd w:fill="EAF1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What to check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Offering ID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default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Monthly package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Google Play product: monthly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Annual package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Google Play product: yearly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Entitlement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Pro or your app-specific Pro entitlement</w:t>
            </w:r>
          </w:p>
        </w:tc>
      </w:tr>
    </w:tbl>
    <w:p/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9. Build the paywall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The paywall should use store-provided prices instead of hardcoded text. This prevents pricing mismatches across countries and review environments.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Show subscription title, duration, price, and trial clearly.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Include Restore Purchases.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Include Terms and Privacy links where required.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Do not exaggerate what the subscription provides.</w:t>
      </w:r>
    </w:p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10. Test with Google Play testers</w:t>
      </w:r>
    </w:p>
    <w:p>
      <w:pPr>
        <w:spacing w:before="0" w:after="120" w:line="300" w:lineRule="auto"/>
      </w:pPr>
      <w:r>
        <w:rPr>
          <w:rFonts w:ascii="Calibri" w:hAnsi="Calibri"/>
          <w:color w:val="0F172A"/>
          <w:sz w:val="22"/>
        </w:rPr>
        <w:t>Always test from a Google Play-installed build, not just a local dev build. Subscription behavior depends on the Play Store environment.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Add tester accounts in Google Play Console.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Install the app from the test track link.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Open the paywall and confirm products load.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Verify monthly and yearly prices.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Complete a sandbox purchase.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Confirm Pro unlocks immediately.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Close and reopen the app to confirm access persists.</w:t>
      </w:r>
    </w:p>
    <w:p>
      <w:pPr>
        <w:pStyle w:val="ListNumber"/>
        <w:spacing w:before="0" w:after="60" w:line="300" w:lineRule="auto"/>
      </w:pPr>
      <w:r>
        <w:rPr>
          <w:rFonts w:ascii="Calibri" w:hAnsi="Calibri"/>
          <w:color w:val="0F172A"/>
          <w:sz w:val="21"/>
        </w:rPr>
        <w:t>Test Restore Purchases.</w:t>
      </w:r>
    </w:p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11. Avoid common mistakes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EAF1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Area</w:t>
            </w:r>
          </w:p>
        </w:tc>
        <w:tc>
          <w:tcPr>
            <w:tcW w:type="dxa" w:w="6768"/>
            <w:shd w:fill="EAF1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What to check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Wrong SDK key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Android must use the RevenueCat key that starts with goog_. iOS uses the key that starts with appl_.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Wrong products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Do not leave the paywall connected to RevenueCat Test Store products for production.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Hardcoded prices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Use RevenueCat/store pricing so App Review and users see accurate localized prices.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Missing build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Google Play may require a processed build with billing support before subscriptions can be created.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Bad user trust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0"/>
              </w:rPr>
              <w:t>Do not block users from accessing content they already created.</w:t>
            </w:r>
          </w:p>
        </w:tc>
      </w:tr>
    </w:tbl>
    <w:p/>
    <w:p>
      <w:pPr>
        <w:pStyle w:val="Heading1"/>
        <w:spacing w:before="280" w:after="120" w:line="300" w:lineRule="auto"/>
      </w:pPr>
      <w:r>
        <w:rPr>
          <w:rFonts w:ascii="Calibri" w:hAnsi="Calibri"/>
          <w:color w:val="4B7DE6"/>
        </w:rPr>
        <w:t>12. Production checklist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Android build includes billing SDK.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Google Play subscriptions are created and active for testing.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RevenueCat Android app has valid service account credentials.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Products are imported into RevenueCat.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Products are attached to the correct entitlement.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Default offering contains monthly and yearly packages.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App uses platform-specific RevenueCat SDK keys.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Paywall shows correct prices.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Purchase unlocks Pro.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Restore Purchases works.</w:t>
      </w:r>
    </w:p>
    <w:p>
      <w:pPr>
        <w:pStyle w:val="ListBullet"/>
        <w:spacing w:before="0" w:after="60" w:line="300" w:lineRule="auto"/>
      </w:pPr>
      <w:r>
        <w:rPr>
          <w:rFonts w:ascii="Calibri" w:hAnsi="Calibri"/>
          <w:color w:val="0F172A"/>
          <w:sz w:val="21"/>
        </w:rPr>
        <w:t>Existing user data remains accessible.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1FF"/>
            <w:tcBorders>
              <w:top w:val="single" w:sz="6" w:space="0" w:color="C7D7FF"/>
              <w:left w:val="single" w:sz="6" w:space="0" w:color="C7D7FF"/>
              <w:bottom w:val="single" w:sz="6" w:space="0" w:color="C7D7FF"/>
              <w:right w:val="single" w:sz="6" w:space="0" w:color="C7D7FF"/>
            </w:tcBorders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F172A"/>
                <w:sz w:val="22"/>
              </w:rPr>
              <w:t>Simple launch stance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Keep the free app useful, make Pro clearly worth paying for, and avoid taking away access to anything users already created.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