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1A2E"/>
          <w:sz w:val="38"/>
          <w:szCs w:val="38"/>
        </w:rPr>
        <w:t xml:space="preserve">ERA: A Three-Level Framework for Evaluating</w:t>
      </w:r>
    </w:p>
    <w:p>
      <w:pPr>
        <w:spacing w:after="280" w:before="0"/>
        <w:jc w:val="center"/>
      </w:pPr>
      <w:r>
        <w:rPr>
          <w:rFonts w:ascii="Arial" w:cs="Arial" w:eastAsia="Arial" w:hAnsi="Arial"/>
          <w:b/>
          <w:bCs/>
          <w:color w:val="1A1A2E"/>
          <w:sz w:val="38"/>
          <w:szCs w:val="38"/>
        </w:rPr>
        <w:t xml:space="preserve">Representational Alignment in Fine-Tuned Language Models</w:t>
      </w:r>
    </w:p>
    <w:p>
      <w:pPr>
        <w:pBdr>
          <w:bottom w:val="single" w:color="2E4A7A" w:sz="16" w:space="1"/>
        </w:pBdr>
        <w:spacing w:after="80"/>
      </w:pPr>
    </w:p>
    <w:p>
      <w:pPr>
        <w:spacing w:after="80"/>
      </w:pPr>
    </w:p>
    <w:p>
      <w:pPr>
        <w:spacing w:after="60"/>
        <w:jc w:val="center"/>
      </w:pPr>
      <w:r>
        <w:rPr>
          <w:rFonts w:ascii="Arial" w:cs="Arial" w:eastAsia="Arial" w:hAnsi="Arial"/>
          <w:b/>
          <w:bCs/>
          <w:color w:val="1A1A2E"/>
          <w:sz w:val="24"/>
          <w:szCs w:val="24"/>
        </w:rPr>
        <w:t xml:space="preserve">Alexander Paolo Zeisberg Militerni</w:t>
      </w:r>
    </w:p>
    <w:p>
      <w:pPr>
        <w:spacing w:after="40"/>
        <w:jc w:val="center"/>
      </w:pPr>
      <w:r>
        <w:rPr>
          <w:rFonts w:ascii="Arial" w:cs="Arial" w:eastAsia="Arial" w:hAnsi="Arial"/>
          <w:color w:val="555555"/>
          <w:sz w:val="20"/>
          <w:szCs w:val="20"/>
        </w:rPr>
        <w:t xml:space="preserve">alexander.zeisberg85@gmail.com</w:t>
      </w:r>
    </w:p>
    <w:p>
      <w:pPr>
        <w:spacing w:after="40"/>
        <w:jc w:val="center"/>
      </w:pPr>
      <w:r>
        <w:rPr>
          <w:rFonts w:ascii="Arial" w:cs="Arial" w:eastAsia="Arial" w:hAnsi="Arial"/>
          <w:i/>
          <w:iCs/>
          <w:color w:val="555555"/>
          <w:sz w:val="20"/>
          <w:szCs w:val="20"/>
        </w:rPr>
        <w:t xml:space="preserve">ERA Framework — v1.0.1</w:t>
      </w:r>
    </w:p>
    <w:p>
      <w:pPr>
        <w:spacing w:after="200"/>
        <w:jc w:val="center"/>
      </w:pPr>
      <w:hyperlink w:history="1" r:id="rIds4wbsw038rpkfvd_mswnq">
        <w:r>
          <w:rPr>
            <w:rFonts w:ascii="Arial" w:cs="Arial" w:eastAsia="Arial" w:hAnsi="Arial"/>
            <w:color w:val="1155CC"/>
            <w:sz w:val="20"/>
            <w:szCs w:val="20"/>
            <w:u w:val="single"/>
          </w:rPr>
          <w:t xml:space="preserve">github.com/blacklotus1985/ERA-framework</w:t>
        </w:r>
      </w:hyperlink>
    </w:p>
    <w:p>
      <w:pPr>
        <w:pBdr>
          <w:bottom w:val="single" w:color="2E4A7A" w:sz="6" w:space="1"/>
        </w:pBdr>
        <w:spacing w:after="80"/>
      </w:pP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7A" w:sz="4"/>
              <w:left w:val="single" w:color="2E4A7A" w:sz="4"/>
              <w:bottom w:val="single" w:color="2E4A7A" w:sz="4"/>
              <w:right w:val="single" w:color="2E4A7A" w:sz="4"/>
            </w:tcBorders>
            <w:shd w:fill="F4F7FB" w:val="clear"/>
            <w:tcMar>
              <w:top w:type="dxa" w:w="160"/>
              <w:left w:type="dxa" w:w="240"/>
              <w:bottom w:type="dxa" w:w="160"/>
              <w:right w:type="dxa" w:w="240"/>
            </w:tcMar>
          </w:tcPr>
          <w:p>
            <w:pPr>
              <w:spacing w:after="60"/>
            </w:pPr>
            <w:r>
              <w:rPr>
                <w:rFonts w:ascii="Arial" w:cs="Arial" w:eastAsia="Arial" w:hAnsi="Arial"/>
                <w:b/>
                <w:bCs/>
                <w:color w:val="1A1A2E"/>
                <w:sz w:val="22"/>
                <w:szCs w:val="22"/>
              </w:rPr>
              <w:t xml:space="preserve">Abstract</w:t>
            </w:r>
          </w:p>
          <w:p>
            <w:pPr>
              <w:spacing w:after="0" w:line="264"/>
            </w:pPr>
            <w:r>
              <w:rPr>
                <w:rFonts w:ascii="Times New Roman" w:cs="Times New Roman" w:eastAsia="Times New Roman" w:hAnsi="Times New Roman"/>
                <w:sz w:val="22"/>
                <w:szCs w:val="22"/>
              </w:rPr>
              <w:t xml:space="preserve">Fine-tuning language models can alter output distributions while leaving internal concept representations largely intact—a phenomenon we term </w:t>
            </w:r>
            <w:r>
              <w:rPr>
                <w:rFonts w:ascii="Times New Roman" w:cs="Times New Roman" w:eastAsia="Times New Roman" w:hAnsi="Times New Roman"/>
                <w:i/>
                <w:iCs/>
                <w:sz w:val="22"/>
                <w:szCs w:val="22"/>
              </w:rPr>
              <w:t xml:space="preserve">shallow alignment</w:t>
            </w:r>
            <w:r>
              <w:rPr>
                <w:rFonts w:ascii="Times New Roman" w:cs="Times New Roman" w:eastAsia="Times New Roman" w:hAnsi="Times New Roman"/>
                <w:sz w:val="22"/>
                <w:szCs w:val="22"/>
              </w:rPr>
              <w:t xml:space="preserve">. Standard bias detection methods, operating exclusively at the output level, cannot distinguish this superficial behavioral change from genuine conceptual reorganization. We present ERA (Evaluation of Representational Alignment), a diagnostic framework that decomposes fine-tuning effects into three orthogonal, mathematically distinct levels: behavioral drift (L1), probabilistic drift (L2), and representational drift (L3). We further introduce the </w:t>
            </w:r>
            <w:r>
              <w:rPr>
                <w:rFonts w:ascii="Times New Roman" w:cs="Times New Roman" w:eastAsia="Times New Roman" w:hAnsi="Times New Roman"/>
                <w:i/>
                <w:iCs/>
                <w:sz w:val="22"/>
                <w:szCs w:val="22"/>
              </w:rPr>
              <w:t xml:space="preserve">Alignment Score</w:t>
            </w:r>
            <w:r>
              <w:rPr>
                <w:rFonts w:ascii="Times New Roman" w:cs="Times New Roman" w:eastAsia="Times New Roman" w:hAnsi="Times New Roman"/>
                <w:sz w:val="22"/>
                <w:szCs w:val="22"/>
              </w:rPr>
              <w:t xml:space="preserve">—the ratio L2/L3—as a scalar indicator of learning depth, and a </w:t>
            </w:r>
            <w:r>
              <w:rPr>
                <w:rFonts w:ascii="Times New Roman" w:cs="Times New Roman" w:eastAsia="Times New Roman" w:hAnsi="Times New Roman"/>
                <w:i/>
                <w:iCs/>
                <w:sz w:val="22"/>
                <w:szCs w:val="22"/>
              </w:rPr>
              <w:t xml:space="preserve">Stereotype Index</w:t>
            </w:r>
            <w:r>
              <w:rPr>
                <w:rFonts w:ascii="Times New Roman" w:cs="Times New Roman" w:eastAsia="Times New Roman" w:hAnsi="Times New Roman"/>
                <w:sz w:val="22"/>
                <w:szCs w:val="22"/>
              </w:rPr>
              <w:t xml:space="preserve"> for quantifying differential gender associations across semantic role families. In a proof-of-concept experiment, GPT-Neo 125M is fine-tuned on an 89-sentence gender-biased corpus and yields L1 = 0.006, L2 = 2.093, L3 = 1.71×10⁻⁵, and Alignment Score = 122,292—demonstrating that the model redistributed probability mass across gender groups without restructuring its internal concept geometry. ERA is released as an open-source Python package and is intended to complement existing benchmarks with model-internal diagnostics unavailable from output-level analysis alone.</w:t>
            </w:r>
          </w:p>
          <w:p>
            <w:pPr>
              <w:spacing w:after="0"/>
            </w:pPr>
          </w:p>
          <w:p>
            <w:pPr>
              <w:spacing w:after="0" w:before="100"/>
            </w:pPr>
            <w:r>
              <w:rPr>
                <w:rFonts w:ascii="Arial" w:cs="Arial" w:eastAsia="Arial" w:hAnsi="Arial"/>
                <w:b/>
                <w:bCs/>
                <w:sz w:val="20"/>
                <w:szCs w:val="20"/>
              </w:rPr>
              <w:t xml:space="preserve">Keywords: </w:t>
            </w:r>
            <w:r>
              <w:rPr>
                <w:rFonts w:ascii="Arial" w:cs="Arial" w:eastAsia="Arial" w:hAnsi="Arial"/>
                <w:i/>
                <w:iCs/>
                <w:sz w:val="20"/>
                <w:szCs w:val="20"/>
              </w:rPr>
              <w:t xml:space="preserve">AI alignment, bias detection, language model evaluation, representational drift, shallow alignment, fine-tuning, fairness, EU AI Act</w:t>
            </w:r>
          </w:p>
        </w:tc>
      </w:tr>
    </w:tbl>
    <w:p>
      <w:pPr>
        <w:spacing w:after="200"/>
      </w:pPr>
    </w:p>
    <w:p>
      <w:pPr>
        <w:pStyle w:val="Heading1"/>
        <w:spacing w:after="100" w:before="320"/>
      </w:pPr>
      <w:r>
        <w:rPr>
          <w:rFonts w:ascii="Arial" w:cs="Arial" w:eastAsia="Arial" w:hAnsi="Arial"/>
          <w:b/>
          <w:bCs/>
          <w:color w:val="1A1A2E"/>
          <w:sz w:val="28"/>
          <w:szCs w:val="28"/>
        </w:rPr>
        <w:t xml:space="preserve">1.  Introduction</w:t>
      </w:r>
    </w:p>
    <w:p>
      <w:pPr>
        <w:pBdr>
          <w:bottom w:val="single" w:color="2E4A7A" w:sz="4" w:space="1"/>
        </w:pBdr>
        <w:spacing w:after="80"/>
      </w:pPr>
    </w:p>
    <w:p>
      <w:pPr>
        <w:spacing w:after="40"/>
      </w:pPr>
    </w:p>
    <w:p>
      <w:pPr>
        <w:spacing w:after="120" w:line="280"/>
        <w:ind/>
        <w:jc w:val="both"/>
      </w:pPr>
      <w:r>
        <w:rPr>
          <w:rFonts w:ascii="Times New Roman" w:cs="Times New Roman" w:eastAsia="Times New Roman" w:hAnsi="Times New Roman"/>
          <w:sz w:val="22"/>
          <w:szCs w:val="22"/>
        </w:rPr>
        <w:t xml:space="preserve">The deployment of fine-tuned language models in consequential settings has renewed interest in methods for detecting and characterizing bias. Standard approaches measure bias at the output level: they prompt the model and observe which tokens or sequences it produces </w:t>
      </w:r>
      <w:r>
        <w:rPr>
          <w:rFonts w:ascii="Times New Roman" w:cs="Times New Roman" w:eastAsia="Times New Roman" w:hAnsi="Times New Roman"/>
          <w:i/>
          <w:iCs/>
          <w:sz w:val="22"/>
          <w:szCs w:val="22"/>
        </w:rPr>
        <w:t xml:space="preserve">(Caliskan et al., 2017; Nadeem et al., 2021; Zhao et al., 2018)</w:t>
      </w:r>
      <w:r>
        <w:rPr>
          <w:rFonts w:ascii="Times New Roman" w:cs="Times New Roman" w:eastAsia="Times New Roman" w:hAnsi="Times New Roman"/>
          <w:sz w:val="22"/>
          <w:szCs w:val="22"/>
        </w:rPr>
        <w:t xml:space="preserve">. These methods answer the question of </w:t>
      </w:r>
      <w:r>
        <w:rPr>
          <w:rFonts w:ascii="Times New Roman" w:cs="Times New Roman" w:eastAsia="Times New Roman" w:hAnsi="Times New Roman"/>
          <w:i/>
          <w:iCs/>
          <w:sz w:val="22"/>
          <w:szCs w:val="22"/>
        </w:rPr>
        <w:t xml:space="preserve">what the model says</w:t>
      </w:r>
      <w:r>
        <w:rPr>
          <w:rFonts w:ascii="Times New Roman" w:cs="Times New Roman" w:eastAsia="Times New Roman" w:hAnsi="Times New Roman"/>
          <w:sz w:val="22"/>
          <w:szCs w:val="22"/>
        </w:rPr>
        <w:t xml:space="preserve">, but they do not address the question of </w:t>
      </w:r>
      <w:r>
        <w:rPr>
          <w:rFonts w:ascii="Times New Roman" w:cs="Times New Roman" w:eastAsia="Times New Roman" w:hAnsi="Times New Roman"/>
          <w:i/>
          <w:iCs/>
          <w:sz w:val="22"/>
          <w:szCs w:val="22"/>
        </w:rPr>
        <w:t xml:space="preserve">what the model has actually learned</w:t>
      </w:r>
      <w:r>
        <w:rPr>
          <w:rFonts w:ascii="Times New Roman" w:cs="Times New Roman" w:eastAsia="Times New Roman" w:hAnsi="Times New Roman"/>
          <w:sz w:val="22"/>
          <w:szCs w:val="22"/>
        </w:rPr>
        <w:t xml:space="preserve">.</w:t>
      </w:r>
    </w:p>
    <w:p>
      <w:pPr>
        <w:spacing w:after="120" w:line="280"/>
        <w:ind w:firstLine="360"/>
        <w:jc w:val="both"/>
      </w:pPr>
      <w:r>
        <w:rPr>
          <w:rFonts w:ascii="Times New Roman" w:cs="Times New Roman" w:eastAsia="Times New Roman" w:hAnsi="Times New Roman"/>
          <w:sz w:val="22"/>
          <w:szCs w:val="22"/>
        </w:rPr>
        <w:t xml:space="preserve">This distinction becomes critical in the context of alignment: a model fine-tuned to suppress bias may learn to produce different outputs without changing the internal representations that encode the original bias. If the underlying concept geometry is unchanged, the apparent debiasing is fragile—bias can re-emerge under prompt variations, adversarial inputs, or distribution shifts. Alignment evaluation that does not examine the internal model state cannot detect this fragility.</w:t>
      </w:r>
    </w:p>
    <w:p>
      <w:pPr>
        <w:spacing w:after="120" w:line="280"/>
        <w:ind w:firstLine="360"/>
        <w:jc w:val="both"/>
      </w:pPr>
      <w:r>
        <w:rPr>
          <w:rFonts w:ascii="Times New Roman" w:cs="Times New Roman" w:eastAsia="Times New Roman" w:hAnsi="Times New Roman"/>
          <w:sz w:val="22"/>
          <w:szCs w:val="22"/>
        </w:rPr>
        <w:t xml:space="preserve">We refer to this condition as </w:t>
      </w:r>
      <w:r>
        <w:rPr>
          <w:rFonts w:ascii="Times New Roman" w:cs="Times New Roman" w:eastAsia="Times New Roman" w:hAnsi="Times New Roman"/>
          <w:i/>
          <w:iCs/>
          <w:sz w:val="22"/>
          <w:szCs w:val="22"/>
        </w:rPr>
        <w:t xml:space="preserve">shallow alignment</w:t>
      </w:r>
      <w:r>
        <w:rPr>
          <w:rFonts w:ascii="Times New Roman" w:cs="Times New Roman" w:eastAsia="Times New Roman" w:hAnsi="Times New Roman"/>
          <w:sz w:val="22"/>
          <w:szCs w:val="22"/>
        </w:rPr>
        <w:t xml:space="preserve">: a configuration in which fine-tuning produces observable behavioral change (high L2) without representational reorganization (low L3). Our central hypothesis is that shallow alignment is both measurable and common, and that its detection requires inspecting the model at multiple structural levels simultaneously.</w:t>
      </w:r>
    </w:p>
    <w:p>
      <w:pPr>
        <w:spacing w:after="120" w:line="280"/>
        <w:ind w:firstLine="360"/>
        <w:jc w:val="both"/>
      </w:pPr>
      <w:r>
        <w:rPr>
          <w:rFonts w:ascii="Times New Roman" w:cs="Times New Roman" w:eastAsia="Times New Roman" w:hAnsi="Times New Roman"/>
          <w:sz w:val="22"/>
          <w:szCs w:val="22"/>
        </w:rPr>
        <w:t xml:space="preserve">This paper makes the following contributions:</w:t>
      </w:r>
    </w:p>
    <w:p>
      <w:pPr>
        <w:pStyle w:val="ListParagraph"/>
        <w:numPr>
          <w:ilvl w:val="0"/>
          <w:numId w:val="2"/>
        </w:numPr>
        <w:spacing w:after="80" w:line="280"/>
      </w:pPr>
      <w:r>
        <w:rPr>
          <w:rFonts w:ascii="Times New Roman" w:cs="Times New Roman" w:eastAsia="Times New Roman" w:hAnsi="Times New Roman"/>
          <w:sz w:val="22"/>
          <w:szCs w:val="22"/>
        </w:rPr>
        <w:t xml:space="preserve">We formalize the distinction between behavioral, probabilistic, and representational fine-tuning effects and define three orthogonal metrics (L1, L2, L3) for measuring each.</w:t>
      </w:r>
    </w:p>
    <w:p>
      <w:pPr>
        <w:pStyle w:val="ListParagraph"/>
        <w:numPr>
          <w:ilvl w:val="0"/>
          <w:numId w:val="2"/>
        </w:numPr>
        <w:spacing w:after="80" w:line="280"/>
      </w:pPr>
      <w:r>
        <w:rPr>
          <w:rFonts w:ascii="Times New Roman" w:cs="Times New Roman" w:eastAsia="Times New Roman" w:hAnsi="Times New Roman"/>
          <w:sz w:val="22"/>
          <w:szCs w:val="22"/>
        </w:rPr>
        <w:t xml:space="preserve">We introduce the Alignment Score (L2 / L3) as a scalar diagnostic that quantifies the degree of shallow alignment.</w:t>
      </w:r>
    </w:p>
    <w:p>
      <w:pPr>
        <w:pStyle w:val="ListParagraph"/>
        <w:numPr>
          <w:ilvl w:val="0"/>
          <w:numId w:val="2"/>
        </w:numPr>
        <w:spacing w:after="80" w:line="280"/>
      </w:pPr>
      <w:r>
        <w:rPr>
          <w:rFonts w:ascii="Times New Roman" w:cs="Times New Roman" w:eastAsia="Times New Roman" w:hAnsi="Times New Roman"/>
          <w:sz w:val="22"/>
          <w:szCs w:val="22"/>
        </w:rPr>
        <w:t xml:space="preserve">We introduce the Stereotype Index, which measures differential gender probability bias across semantic role families (leadership vs. support).</w:t>
      </w:r>
    </w:p>
    <w:p>
      <w:pPr>
        <w:pStyle w:val="ListParagraph"/>
        <w:numPr>
          <w:ilvl w:val="0"/>
          <w:numId w:val="2"/>
        </w:numPr>
        <w:spacing w:after="80" w:line="280"/>
      </w:pPr>
      <w:r>
        <w:rPr>
          <w:rFonts w:ascii="Times New Roman" w:cs="Times New Roman" w:eastAsia="Times New Roman" w:hAnsi="Times New Roman"/>
          <w:sz w:val="22"/>
          <w:szCs w:val="22"/>
        </w:rPr>
        <w:t xml:space="preserve">We provide a proof-of-concept validation on GPT-Neo 125M that demonstrates the shallow alignment signature empirically and confirms the independence of the three levels.</w:t>
      </w:r>
    </w:p>
    <w:p>
      <w:pPr>
        <w:pStyle w:val="ListParagraph"/>
        <w:numPr>
          <w:ilvl w:val="0"/>
          <w:numId w:val="2"/>
        </w:numPr>
        <w:spacing w:after="80" w:line="280"/>
      </w:pPr>
      <w:r>
        <w:rPr>
          <w:rFonts w:ascii="Times New Roman" w:cs="Times New Roman" w:eastAsia="Times New Roman" w:hAnsi="Times New Roman"/>
          <w:sz w:val="22"/>
          <w:szCs w:val="22"/>
        </w:rPr>
        <w:t xml:space="preserve">We release ERA as an open-source Python package with full reproducibility (fixed random seed, documented hyperparameters, verified results).</w:t>
      </w:r>
    </w:p>
    <w:p>
      <w:pPr>
        <w:pStyle w:val="Heading1"/>
        <w:spacing w:after="100" w:before="320"/>
      </w:pPr>
      <w:r>
        <w:rPr>
          <w:rFonts w:ascii="Arial" w:cs="Arial" w:eastAsia="Arial" w:hAnsi="Arial"/>
          <w:b/>
          <w:bCs/>
          <w:color w:val="1A1A2E"/>
          <w:sz w:val="28"/>
          <w:szCs w:val="28"/>
        </w:rPr>
        <w:t xml:space="preserve">2.  Related Work</w:t>
      </w:r>
    </w:p>
    <w:p>
      <w:pPr>
        <w:pBdr>
          <w:bottom w:val="single" w:color="2E4A7A" w:sz="4" w:space="1"/>
        </w:pBdr>
        <w:spacing w:after="80"/>
      </w:pPr>
    </w:p>
    <w:p>
      <w:pPr>
        <w:spacing w:after="40"/>
      </w:pPr>
    </w:p>
    <w:p>
      <w:pPr>
        <w:spacing w:after="60" w:before="160"/>
      </w:pPr>
      <w:r>
        <w:rPr>
          <w:rFonts w:ascii="Arial" w:cs="Arial" w:eastAsia="Arial" w:hAnsi="Arial"/>
          <w:b/>
          <w:bCs/>
          <w:color w:val="1A1A2E"/>
          <w:sz w:val="22"/>
          <w:szCs w:val="22"/>
        </w:rPr>
        <w:t xml:space="preserve">Output-level bias metrics.</w:t>
      </w:r>
    </w:p>
    <w:p>
      <w:pPr>
        <w:spacing w:after="120" w:line="280"/>
        <w:ind/>
        <w:jc w:val="both"/>
      </w:pPr>
      <w:r>
        <w:rPr>
          <w:rFonts w:ascii="Times New Roman" w:cs="Times New Roman" w:eastAsia="Times New Roman" w:hAnsi="Times New Roman"/>
          <w:sz w:val="22"/>
          <w:szCs w:val="22"/>
        </w:rPr>
        <w:t xml:space="preserve">WEAT </w:t>
      </w:r>
      <w:r>
        <w:rPr>
          <w:rFonts w:ascii="Times New Roman" w:cs="Times New Roman" w:eastAsia="Times New Roman" w:hAnsi="Times New Roman"/>
          <w:i/>
          <w:iCs/>
          <w:sz w:val="22"/>
          <w:szCs w:val="22"/>
        </w:rPr>
        <w:t xml:space="preserve">(Caliskan et al., 2017)</w:t>
      </w:r>
      <w:r>
        <w:rPr>
          <w:rFonts w:ascii="Times New Roman" w:cs="Times New Roman" w:eastAsia="Times New Roman" w:hAnsi="Times New Roman"/>
          <w:sz w:val="22"/>
          <w:szCs w:val="22"/>
        </w:rPr>
        <w:t xml:space="preserve"> measures cosine similarity between concept and attribute word embeddings in a static embedding space. StereoSet </w:t>
      </w:r>
      <w:r>
        <w:rPr>
          <w:rFonts w:ascii="Times New Roman" w:cs="Times New Roman" w:eastAsia="Times New Roman" w:hAnsi="Times New Roman"/>
          <w:i/>
          <w:iCs/>
          <w:sz w:val="22"/>
          <w:szCs w:val="22"/>
        </w:rPr>
        <w:t xml:space="preserve">(Nadeem et al., 2021)</w:t>
      </w:r>
      <w:r>
        <w:rPr>
          <w:rFonts w:ascii="Times New Roman" w:cs="Times New Roman" w:eastAsia="Times New Roman" w:hAnsi="Times New Roman"/>
          <w:sz w:val="22"/>
          <w:szCs w:val="22"/>
        </w:rPr>
        <w:t xml:space="preserve"> evaluates model preference for stereotypical vs. anti-stereotypical sentence completions. WinoBias </w:t>
      </w:r>
      <w:r>
        <w:rPr>
          <w:rFonts w:ascii="Times New Roman" w:cs="Times New Roman" w:eastAsia="Times New Roman" w:hAnsi="Times New Roman"/>
          <w:i/>
          <w:iCs/>
          <w:sz w:val="22"/>
          <w:szCs w:val="22"/>
        </w:rPr>
        <w:t xml:space="preserve">(Zhao et al., 2018)</w:t>
      </w:r>
      <w:r>
        <w:rPr>
          <w:rFonts w:ascii="Times New Roman" w:cs="Times New Roman" w:eastAsia="Times New Roman" w:hAnsi="Times New Roman"/>
          <w:sz w:val="22"/>
          <w:szCs w:val="22"/>
        </w:rPr>
        <w:t xml:space="preserve"> and WinoGender </w:t>
      </w:r>
      <w:r>
        <w:rPr>
          <w:rFonts w:ascii="Times New Roman" w:cs="Times New Roman" w:eastAsia="Times New Roman" w:hAnsi="Times New Roman"/>
          <w:i/>
          <w:iCs/>
          <w:sz w:val="22"/>
          <w:szCs w:val="22"/>
        </w:rPr>
        <w:t xml:space="preserve">(Rudinger et al., 2018)</w:t>
      </w:r>
      <w:r>
        <w:rPr>
          <w:rFonts w:ascii="Times New Roman" w:cs="Times New Roman" w:eastAsia="Times New Roman" w:hAnsi="Times New Roman"/>
          <w:sz w:val="22"/>
          <w:szCs w:val="22"/>
        </w:rPr>
        <w:t xml:space="preserve"> test coreference resolution with gender-ambiguous pronouns. CrowS-Pairs </w:t>
      </w:r>
      <w:r>
        <w:rPr>
          <w:rFonts w:ascii="Times New Roman" w:cs="Times New Roman" w:eastAsia="Times New Roman" w:hAnsi="Times New Roman"/>
          <w:i/>
          <w:iCs/>
          <w:sz w:val="22"/>
          <w:szCs w:val="22"/>
        </w:rPr>
        <w:t xml:space="preserve">(Nangia et al., 2021)</w:t>
      </w:r>
      <w:r>
        <w:rPr>
          <w:rFonts w:ascii="Times New Roman" w:cs="Times New Roman" w:eastAsia="Times New Roman" w:hAnsi="Times New Roman"/>
          <w:sz w:val="22"/>
          <w:szCs w:val="22"/>
        </w:rPr>
        <w:t xml:space="preserve"> assesses pseudo-log-likelihood differences for minimal sentence pairs. These methods are valuable for measuring surface bias but share a common limitation: they characterize the model’s outputs without examining whether fine-tuning has altered the model’s internal representations.</w:t>
      </w:r>
    </w:p>
    <w:p>
      <w:pPr>
        <w:spacing w:after="60" w:before="160"/>
      </w:pPr>
      <w:r>
        <w:rPr>
          <w:rFonts w:ascii="Arial" w:cs="Arial" w:eastAsia="Arial" w:hAnsi="Arial"/>
          <w:b/>
          <w:bCs/>
          <w:color w:val="1A1A2E"/>
          <w:sz w:val="22"/>
          <w:szCs w:val="22"/>
        </w:rPr>
        <w:t xml:space="preserve">Representation analysis.</w:t>
      </w:r>
    </w:p>
    <w:p>
      <w:pPr>
        <w:spacing w:after="120" w:line="280"/>
        <w:ind/>
        <w:jc w:val="both"/>
      </w:pPr>
      <w:r>
        <w:rPr>
          <w:rFonts w:ascii="Times New Roman" w:cs="Times New Roman" w:eastAsia="Times New Roman" w:hAnsi="Times New Roman"/>
          <w:sz w:val="22"/>
          <w:szCs w:val="22"/>
        </w:rPr>
        <w:t xml:space="preserve">Probing classifiers </w:t>
      </w:r>
      <w:r>
        <w:rPr>
          <w:rFonts w:ascii="Times New Roman" w:cs="Times New Roman" w:eastAsia="Times New Roman" w:hAnsi="Times New Roman"/>
          <w:i/>
          <w:iCs/>
          <w:sz w:val="22"/>
          <w:szCs w:val="22"/>
        </w:rPr>
        <w:t xml:space="preserve">(Belinkov &amp; Glass, 2019; Tenney et al., 2019)</w:t>
      </w:r>
      <w:r>
        <w:rPr>
          <w:rFonts w:ascii="Times New Roman" w:cs="Times New Roman" w:eastAsia="Times New Roman" w:hAnsi="Times New Roman"/>
          <w:sz w:val="22"/>
          <w:szCs w:val="22"/>
        </w:rPr>
        <w:t xml:space="preserve"> train lightweight classifiers on frozen hidden states to detect encoded properties. This line of work demonstrates that pre-trained representations encode rich linguistic structure but does not directly address whether fine-tuning changes this structure systematically. ERA differs from probing in that it measures </w:t>
      </w:r>
      <w:r>
        <w:rPr>
          <w:rFonts w:ascii="Times New Roman" w:cs="Times New Roman" w:eastAsia="Times New Roman" w:hAnsi="Times New Roman"/>
          <w:i/>
          <w:iCs/>
          <w:sz w:val="22"/>
          <w:szCs w:val="22"/>
        </w:rPr>
        <w:t xml:space="preserve">geometric displacement</w:t>
      </w:r>
      <w:r>
        <w:rPr>
          <w:rFonts w:ascii="Times New Roman" w:cs="Times New Roman" w:eastAsia="Times New Roman" w:hAnsi="Times New Roman"/>
          <w:sz w:val="22"/>
          <w:szCs w:val="22"/>
        </w:rPr>
        <w:t xml:space="preserve"> of concept representations between model versions, rather than the presence of a property in a single model.</w:t>
      </w:r>
    </w:p>
    <w:p>
      <w:pPr>
        <w:spacing w:after="60" w:before="160"/>
      </w:pPr>
      <w:r>
        <w:rPr>
          <w:rFonts w:ascii="Arial" w:cs="Arial" w:eastAsia="Arial" w:hAnsi="Arial"/>
          <w:b/>
          <w:bCs/>
          <w:color w:val="1A1A2E"/>
          <w:sz w:val="22"/>
          <w:szCs w:val="22"/>
        </w:rPr>
        <w:t xml:space="preserve">Alignment and inner alignment.</w:t>
      </w:r>
    </w:p>
    <w:p>
      <w:pPr>
        <w:spacing w:after="120" w:line="280"/>
        <w:ind/>
        <w:jc w:val="both"/>
      </w:pPr>
      <w:r>
        <w:rPr>
          <w:rFonts w:ascii="Times New Roman" w:cs="Times New Roman" w:eastAsia="Times New Roman" w:hAnsi="Times New Roman"/>
          <w:sz w:val="22"/>
          <w:szCs w:val="22"/>
        </w:rPr>
        <w:t xml:space="preserve">The distinction between surface alignment and deep alignment maps onto the “inner alignment” problem discussed in AI safety literature </w:t>
      </w:r>
      <w:r>
        <w:rPr>
          <w:rFonts w:ascii="Times New Roman" w:cs="Times New Roman" w:eastAsia="Times New Roman" w:hAnsi="Times New Roman"/>
          <w:i/>
          <w:iCs/>
          <w:sz w:val="22"/>
          <w:szCs w:val="22"/>
        </w:rPr>
        <w:t xml:space="preserve">(Hubinger et al., 2019)</w:t>
      </w:r>
      <w:r>
        <w:rPr>
          <w:rFonts w:ascii="Times New Roman" w:cs="Times New Roman" w:eastAsia="Times New Roman" w:hAnsi="Times New Roman"/>
          <w:sz w:val="22"/>
          <w:szCs w:val="22"/>
        </w:rPr>
        <w:t xml:space="preserve">: a model may behave as intended on the training distribution while pursuing a different objective. Measuring whether fine-tuning induces genuine conceptual change, as ERA’s L3 does, is directly relevant to this problem. Representation engineering </w:t>
      </w:r>
      <w:r>
        <w:rPr>
          <w:rFonts w:ascii="Times New Roman" w:cs="Times New Roman" w:eastAsia="Times New Roman" w:hAnsi="Times New Roman"/>
          <w:i/>
          <w:iCs/>
          <w:sz w:val="22"/>
          <w:szCs w:val="22"/>
        </w:rPr>
        <w:t xml:space="preserve">(Zou et al., 2023)</w:t>
      </w:r>
      <w:r>
        <w:rPr>
          <w:rFonts w:ascii="Times New Roman" w:cs="Times New Roman" w:eastAsia="Times New Roman" w:hAnsi="Times New Roman"/>
          <w:sz w:val="22"/>
          <w:szCs w:val="22"/>
        </w:rPr>
        <w:t xml:space="preserve"> modifies internal representations as an intervention; ERA, by contrast, uses representation analysis as a post-hoc diagnostic.</w:t>
      </w:r>
    </w:p>
    <w:p>
      <w:pPr>
        <w:pStyle w:val="Heading1"/>
        <w:spacing w:after="100" w:before="320"/>
      </w:pPr>
      <w:r>
        <w:rPr>
          <w:rFonts w:ascii="Arial" w:cs="Arial" w:eastAsia="Arial" w:hAnsi="Arial"/>
          <w:b/>
          <w:bCs/>
          <w:color w:val="1A1A2E"/>
          <w:sz w:val="28"/>
          <w:szCs w:val="28"/>
        </w:rPr>
        <w:t xml:space="preserve">3.  The ERA Framework</w:t>
      </w:r>
    </w:p>
    <w:p>
      <w:pPr>
        <w:pBdr>
          <w:bottom w:val="single" w:color="2E4A7A" w:sz="4" w:space="1"/>
        </w:pBdr>
        <w:spacing w:after="80"/>
      </w:pPr>
    </w:p>
    <w:p>
      <w:pPr>
        <w:spacing w:after="40"/>
      </w:pPr>
    </w:p>
    <w:p>
      <w:pPr>
        <w:pStyle w:val="Heading2"/>
        <w:spacing w:after="80" w:before="200"/>
      </w:pPr>
      <w:r>
        <w:rPr>
          <w:rFonts w:ascii="Arial" w:cs="Arial" w:eastAsia="Arial" w:hAnsi="Arial"/>
          <w:b/>
          <w:bCs/>
          <w:color w:val="1A1A2E"/>
          <w:sz w:val="24"/>
          <w:szCs w:val="24"/>
        </w:rPr>
        <w:t xml:space="preserve">3.1  Setup and Notation</w:t>
      </w:r>
    </w:p>
    <w:p>
      <w:pPr>
        <w:spacing w:after="120" w:line="280"/>
        <w:ind/>
        <w:jc w:val="both"/>
      </w:pPr>
      <w:r>
        <w:rPr>
          <w:rFonts w:ascii="Times New Roman" w:cs="Times New Roman" w:eastAsia="Times New Roman" w:hAnsi="Times New Roman"/>
          <w:sz w:val="22"/>
          <w:szCs w:val="22"/>
        </w:rPr>
        <w:t xml:space="preserve">Let M₀ denote a pre-trained base model and M₁ a fine-tuned version of the same model. Let C = {c₁,…,c_n} be a set of test contexts, T = {t₁,…,t_m} a set of target tokens, and K = {k₁,…,k_p} a set of concept tokens. All tokens in T and K are required to tokenize to a single vocabulary element; multi-token words are excluded. For a model M and context c, let P_M(t|c) denote the probability assigned by M to token t at the continuation position.</w:t>
      </w:r>
    </w:p>
    <w:p>
      <w:pPr>
        <w:pStyle w:val="Heading2"/>
        <w:spacing w:after="80" w:before="200"/>
      </w:pPr>
      <w:r>
        <w:rPr>
          <w:rFonts w:ascii="Arial" w:cs="Arial" w:eastAsia="Arial" w:hAnsi="Arial"/>
          <w:b/>
          <w:bCs/>
          <w:color w:val="1A1A2E"/>
          <w:sz w:val="24"/>
          <w:szCs w:val="24"/>
        </w:rPr>
        <w:t xml:space="preserve">3.2  L1 — Behavioral Drift</w:t>
      </w:r>
    </w:p>
    <w:p>
      <w:pPr>
        <w:spacing w:after="120" w:line="280"/>
        <w:ind w:firstLine="360"/>
        <w:jc w:val="both"/>
      </w:pPr>
      <w:r>
        <w:rPr>
          <w:rFonts w:ascii="Times New Roman" w:cs="Times New Roman" w:eastAsia="Times New Roman" w:hAnsi="Times New Roman"/>
          <w:sz w:val="22"/>
          <w:szCs w:val="22"/>
        </w:rPr>
        <w:t xml:space="preserve">L1 measures how much the model’s observable preferences change on the specific target token set T. For each context c, we normalize probabilities over T to obtain a restricted distribution:</w:t>
      </w:r>
    </w:p>
    <w:p>
      <w:pPr>
        <w:spacing w:after="80" w:before="80"/>
        <w:ind w:left="720"/>
      </w:pPr>
      <w:r>
        <w:rPr>
          <w:rFonts w:ascii="Courier New" w:cs="Courier New" w:eastAsia="Courier New" w:hAnsi="Courier New"/>
          <w:color w:val="1A3A5C"/>
          <w:sz w:val="22"/>
          <w:szCs w:val="22"/>
        </w:rPr>
        <w:t xml:space="preserve">P̃_M(t|c)  =  P_M(t|c) / Σ_{u∈T} P_M(u|c)</w:t>
      </w:r>
    </w:p>
    <w:p>
      <w:pPr>
        <w:spacing w:after="120" w:line="280"/>
        <w:ind w:firstLine="360"/>
        <w:jc w:val="both"/>
      </w:pPr>
      <w:r>
        <w:rPr>
          <w:rFonts w:ascii="Times New Roman" w:cs="Times New Roman" w:eastAsia="Times New Roman" w:hAnsi="Times New Roman"/>
          <w:sz w:val="22"/>
          <w:szCs w:val="22"/>
        </w:rPr>
        <w:t xml:space="preserve">The per-context KL divergence from M₀ to M₁ is:</w:t>
      </w:r>
    </w:p>
    <w:p>
      <w:pPr>
        <w:spacing w:after="80" w:before="80"/>
        <w:ind w:left="720"/>
      </w:pPr>
      <w:r>
        <w:rPr>
          <w:rFonts w:ascii="Courier New" w:cs="Courier New" w:eastAsia="Courier New" w:hAnsi="Courier New"/>
          <w:color w:val="1A3A5C"/>
          <w:sz w:val="22"/>
          <w:szCs w:val="22"/>
        </w:rPr>
        <w:t xml:space="preserve">KL₁(c)  =  Σ_{t∈T}  P̃_{M₀}(t|c) · log[ P̃_{M₀}(t|c) / P̃_{M₁}(t|c) ]</w:t>
      </w:r>
    </w:p>
    <w:p>
      <w:pPr>
        <w:spacing w:after="120" w:line="280"/>
        <w:ind w:firstLine="360"/>
        <w:jc w:val="both"/>
      </w:pPr>
      <w:r>
        <w:rPr>
          <w:rFonts w:ascii="Times New Roman" w:cs="Times New Roman" w:eastAsia="Times New Roman" w:hAnsi="Times New Roman"/>
          <w:sz w:val="22"/>
          <w:szCs w:val="22"/>
        </w:rPr>
        <w:t xml:space="preserve">Aggregated over all contexts:</w:t>
      </w:r>
    </w:p>
    <w:p>
      <w:pPr>
        <w:spacing w:after="80" w:before="80"/>
        <w:ind w:left="720"/>
      </w:pPr>
      <w:r>
        <w:rPr>
          <w:rFonts w:ascii="Courier New" w:cs="Courier New" w:eastAsia="Courier New" w:hAnsi="Courier New"/>
          <w:color w:val="1A3A5C"/>
          <w:sz w:val="22"/>
          <w:szCs w:val="22"/>
        </w:rPr>
        <w:t xml:space="preserve">L1  =  (1/|C|) Σ_{c∈C}  KL₁(c)</w:t>
      </w:r>
    </w:p>
    <w:p>
      <w:pPr>
        <w:spacing w:after="120" w:line="280"/>
        <w:ind w:firstLine="360"/>
        <w:jc w:val="both"/>
      </w:pPr>
      <w:r>
        <w:rPr>
          <w:rFonts w:ascii="Times New Roman" w:cs="Times New Roman" w:eastAsia="Times New Roman" w:hAnsi="Times New Roman"/>
          <w:sz w:val="22"/>
          <w:szCs w:val="22"/>
        </w:rPr>
        <w:t xml:space="preserve">Low L1 indicates stable token-level lexical preferences; high L1 indicates targeted shifts among specific target tokens. Because L1 normalizes over T before computing KL, it is insensitive to absolute probability changes that do not alter relative preferences within the target set.</w:t>
      </w:r>
    </w:p>
    <w:p>
      <w:pPr>
        <w:pStyle w:val="Heading2"/>
        <w:spacing w:after="80" w:before="200"/>
      </w:pPr>
      <w:r>
        <w:rPr>
          <w:rFonts w:ascii="Arial" w:cs="Arial" w:eastAsia="Arial" w:hAnsi="Arial"/>
          <w:b/>
          <w:bCs/>
          <w:color w:val="1A1A2E"/>
          <w:sz w:val="24"/>
          <w:szCs w:val="24"/>
        </w:rPr>
        <w:t xml:space="preserve">3.3  L2 — Probabilistic Drift</w:t>
      </w:r>
    </w:p>
    <w:p>
      <w:pPr>
        <w:spacing w:after="120" w:line="280"/>
        <w:ind w:firstLine="360"/>
        <w:jc w:val="both"/>
      </w:pPr>
      <w:r>
        <w:rPr>
          <w:rFonts w:ascii="Times New Roman" w:cs="Times New Roman" w:eastAsia="Times New Roman" w:hAnsi="Times New Roman"/>
          <w:sz w:val="22"/>
          <w:szCs w:val="22"/>
        </w:rPr>
        <w:t xml:space="preserve">L2 measures redistribution of probability mass between semantic groups, independently of within-group synonym variation. Define gender groups:</w:t>
      </w:r>
    </w:p>
    <w:p>
      <w:pPr>
        <w:spacing w:after="80" w:before="80"/>
        <w:ind w:left="720"/>
      </w:pPr>
      <w:r>
        <w:rPr>
          <w:rFonts w:ascii="Courier New" w:cs="Courier New" w:eastAsia="Courier New" w:hAnsi="Courier New"/>
          <w:color w:val="1A3A5C"/>
          <w:sz w:val="22"/>
          <w:szCs w:val="22"/>
        </w:rPr>
        <w:t xml:space="preserve">G_m  =  { man, male, men, boy, father, husband, gentleman }   (|G_m| = 7)</w:t>
      </w:r>
    </w:p>
    <w:p>
      <w:pPr>
        <w:spacing w:after="80" w:before="80"/>
        <w:ind w:left="720"/>
      </w:pPr>
      <w:r>
        <w:rPr>
          <w:rFonts w:ascii="Courier New" w:cs="Courier New" w:eastAsia="Courier New" w:hAnsi="Courier New"/>
          <w:color w:val="1A3A5C"/>
          <w:sz w:val="22"/>
          <w:szCs w:val="22"/>
        </w:rPr>
        <w:t xml:space="preserve">G_f  =  { woman, female, women, girl, mother, wife, lady }    (|G_f| = 7)</w:t>
      </w:r>
    </w:p>
    <w:p>
      <w:pPr>
        <w:spacing w:after="120" w:line="280"/>
        <w:ind w:firstLine="360"/>
        <w:jc w:val="both"/>
      </w:pPr>
      <w:r>
        <w:rPr>
          <w:rFonts w:ascii="Times New Roman" w:cs="Times New Roman" w:eastAsia="Times New Roman" w:hAnsi="Times New Roman"/>
          <w:sz w:val="22"/>
          <w:szCs w:val="22"/>
        </w:rPr>
        <w:t xml:space="preserve">For each context c, aggregate group probabilities:</w:t>
      </w:r>
    </w:p>
    <w:p>
      <w:pPr>
        <w:spacing w:after="80" w:before="80"/>
        <w:ind w:left="720"/>
      </w:pPr>
      <w:r>
        <w:rPr>
          <w:rFonts w:ascii="Courier New" w:cs="Courier New" w:eastAsia="Courier New" w:hAnsi="Courier New"/>
          <w:color w:val="1A3A5C"/>
          <w:sz w:val="22"/>
          <w:szCs w:val="22"/>
        </w:rPr>
        <w:t xml:space="preserve">P_M(G_m|c)  =  Σ_{t∈G_m} P_M(t|c)    P_M(G_f|c)  =  Σ_{t∈G_f} P_M(t|c)</w:t>
      </w:r>
    </w:p>
    <w:p>
      <w:pPr>
        <w:spacing w:after="120" w:line="280"/>
        <w:ind w:firstLine="360"/>
        <w:jc w:val="both"/>
      </w:pPr>
      <w:r>
        <w:rPr>
          <w:rFonts w:ascii="Times New Roman" w:cs="Times New Roman" w:eastAsia="Times New Roman" w:hAnsi="Times New Roman"/>
          <w:sz w:val="22"/>
          <w:szCs w:val="22"/>
        </w:rPr>
        <w:t xml:space="preserve">The group-level KL divergence is:</w:t>
      </w:r>
    </w:p>
    <w:p>
      <w:pPr>
        <w:spacing w:after="80" w:before="80"/>
        <w:ind w:left="720"/>
      </w:pPr>
      <w:r>
        <w:rPr>
          <w:rFonts w:ascii="Courier New" w:cs="Courier New" w:eastAsia="Courier New" w:hAnsi="Courier New"/>
          <w:color w:val="1A3A5C"/>
          <w:sz w:val="22"/>
          <w:szCs w:val="22"/>
        </w:rPr>
        <w:t xml:space="preserve">KL₂(c)  =  P_{M₀}(G_m|c) · log[P_{M₀}(G_m|c) / P_{M₁}(G_m|c)]</w:t>
      </w:r>
    </w:p>
    <w:p>
      <w:pPr>
        <w:spacing w:after="80" w:before="80"/>
        <w:ind w:left="720"/>
      </w:pPr>
      <w:r>
        <w:rPr>
          <w:rFonts w:ascii="Courier New" w:cs="Courier New" w:eastAsia="Courier New" w:hAnsi="Courier New"/>
          <w:color w:val="1A3A5C"/>
          <w:sz w:val="22"/>
          <w:szCs w:val="22"/>
        </w:rPr>
        <w:t xml:space="preserve">         +  P_{M₀}(G_f|c) · log[P_{M₀}(G_f|c) / P_{M₁}(G_f|c)]</w:t>
      </w:r>
    </w:p>
    <w:p>
      <w:pPr>
        <w:spacing w:after="80" w:before="80"/>
        <w:ind w:left="720"/>
      </w:pPr>
      <w:r>
        <w:rPr>
          <w:rFonts w:ascii="Courier New" w:cs="Courier New" w:eastAsia="Courier New" w:hAnsi="Courier New"/>
          <w:color w:val="1A3A5C"/>
          <w:sz w:val="22"/>
          <w:szCs w:val="22"/>
        </w:rPr>
        <w:t xml:space="preserve">L2  =  (1/|C|) Σ_{c∈C}  KL₂(c)</w:t>
      </w:r>
    </w:p>
    <w:p>
      <w:pPr>
        <w:spacing w:after="120" w:line="280"/>
        <w:ind w:firstLine="360"/>
        <w:jc w:val="both"/>
      </w:pPr>
      <w:r>
        <w:rPr>
          <w:rFonts w:ascii="Times New Roman" w:cs="Times New Roman" w:eastAsia="Times New Roman" w:hAnsi="Times New Roman"/>
          <w:sz w:val="22"/>
          <w:szCs w:val="22"/>
        </w:rPr>
        <w:t xml:space="preserve">An important property of L2 is robustness to within-group synonym redistribution: if fine-tuning shifts probability from “man” to “father”, both remain in G_m and L2 is unchanged. L2 captures only inter-group mass transfer.</w:t>
      </w:r>
    </w:p>
    <w:p>
      <w:pPr>
        <w:pStyle w:val="Heading2"/>
        <w:spacing w:after="80" w:before="200"/>
      </w:pPr>
      <w:r>
        <w:rPr>
          <w:rFonts w:ascii="Arial" w:cs="Arial" w:eastAsia="Arial" w:hAnsi="Arial"/>
          <w:b/>
          <w:bCs/>
          <w:color w:val="1A1A2E"/>
          <w:sz w:val="24"/>
          <w:szCs w:val="24"/>
        </w:rPr>
        <w:t xml:space="preserve">3.4  L3 — Representational Drift</w:t>
      </w:r>
    </w:p>
    <w:p>
      <w:pPr>
        <w:spacing w:after="120" w:line="280"/>
        <w:ind w:firstLine="360"/>
        <w:jc w:val="both"/>
      </w:pPr>
      <w:r>
        <w:rPr>
          <w:rFonts w:ascii="Times New Roman" w:cs="Times New Roman" w:eastAsia="Times New Roman" w:hAnsi="Times New Roman"/>
          <w:sz w:val="22"/>
          <w:szCs w:val="22"/>
        </w:rPr>
        <w:t xml:space="preserve">L3 measures geometric displacement in the model’s internal concept representations. For each concept token k∈K and context c∈C, we extract the contextual representation from the final hidden layer:</w:t>
      </w:r>
    </w:p>
    <w:p>
      <w:pPr>
        <w:spacing w:after="80" w:before="80"/>
        <w:ind w:left="720"/>
      </w:pPr>
      <w:r>
        <w:rPr>
          <w:rFonts w:ascii="Courier New" w:cs="Courier New" w:eastAsia="Courier New" w:hAnsi="Courier New"/>
          <w:color w:val="1A3A5C"/>
          <w:sz w:val="22"/>
          <w:szCs w:val="22"/>
        </w:rPr>
        <w:t xml:space="preserve">v_M(k, c)  =  h_M(c ⊕ k)    [final-layer hidden state at position of k]</w:t>
      </w:r>
    </w:p>
    <w:p>
      <w:pPr>
        <w:spacing w:after="120" w:line="280"/>
        <w:ind w:firstLine="360"/>
        <w:jc w:val="both"/>
      </w:pPr>
      <w:r>
        <w:rPr>
          <w:rFonts w:ascii="Times New Roman" w:cs="Times New Roman" w:eastAsia="Times New Roman" w:hAnsi="Times New Roman"/>
          <w:sz w:val="22"/>
          <w:szCs w:val="22"/>
        </w:rPr>
        <w:t xml:space="preserve">The context-averaged centroid for concept k is:</w:t>
      </w:r>
    </w:p>
    <w:p>
      <w:pPr>
        <w:spacing w:after="80" w:before="80"/>
        <w:ind w:left="720"/>
      </w:pPr>
      <w:r>
        <w:rPr>
          <w:rFonts w:ascii="Courier New" w:cs="Courier New" w:eastAsia="Courier New" w:hAnsi="Courier New"/>
          <w:color w:val="1A3A5C"/>
          <w:sz w:val="22"/>
          <w:szCs w:val="22"/>
        </w:rPr>
        <w:t xml:space="preserve">v̅_M(k)  =  (1/|C|) Σ_{c∈C}  v_M(k, c)</w:t>
      </w:r>
    </w:p>
    <w:p>
      <w:pPr>
        <w:spacing w:after="120" w:line="280"/>
        <w:ind w:firstLine="360"/>
        <w:jc w:val="both"/>
      </w:pPr>
      <w:r>
        <w:rPr>
          <w:rFonts w:ascii="Times New Roman" w:cs="Times New Roman" w:eastAsia="Times New Roman" w:hAnsi="Times New Roman"/>
          <w:sz w:val="22"/>
          <w:szCs w:val="22"/>
        </w:rPr>
        <w:t xml:space="preserve">Per-concept displacement:</w:t>
      </w:r>
    </w:p>
    <w:p>
      <w:pPr>
        <w:spacing w:after="80" w:before="80"/>
        <w:ind w:left="720"/>
      </w:pPr>
      <w:r>
        <w:rPr>
          <w:rFonts w:ascii="Courier New" w:cs="Courier New" w:eastAsia="Courier New" w:hAnsi="Courier New"/>
          <w:color w:val="1A3A5C"/>
          <w:sz w:val="22"/>
          <w:szCs w:val="22"/>
        </w:rPr>
        <w:t xml:space="preserve">Δ(k)  =  ‖ v̅_{M₀}(k) − v̅_{M₁}(k) ‖₂</w:t>
      </w:r>
    </w:p>
    <w:p>
      <w:pPr>
        <w:spacing w:after="80" w:before="80"/>
        <w:ind w:left="720"/>
      </w:pPr>
      <w:r>
        <w:rPr>
          <w:rFonts w:ascii="Courier New" w:cs="Courier New" w:eastAsia="Courier New" w:hAnsi="Courier New"/>
          <w:color w:val="1A3A5C"/>
          <w:sz w:val="22"/>
          <w:szCs w:val="22"/>
        </w:rPr>
        <w:t xml:space="preserve">L3  =  (1/|K|) Σ_{k∈K}  Δ(k)</w:t>
      </w:r>
    </w:p>
    <w:p>
      <w:pPr>
        <w:spacing w:after="120" w:line="280"/>
        <w:ind w:firstLine="360"/>
        <w:jc w:val="both"/>
      </w:pPr>
      <w:r>
        <w:rPr>
          <w:rFonts w:ascii="Times New Roman" w:cs="Times New Roman" w:eastAsia="Times New Roman" w:hAnsi="Times New Roman"/>
          <w:sz w:val="22"/>
          <w:szCs w:val="22"/>
        </w:rPr>
        <w:t xml:space="preserve">Unlike static embeddings, contextual representations depend on the full context, capturing how the model processes concepts through its transformer layers. Low L3 indicates that the concept geometry is preserved; high L3 indicates genuine representational reorganization.</w:t>
      </w:r>
    </w:p>
    <w:p>
      <w:pPr>
        <w:spacing w:after="120" w:line="280"/>
        <w:ind w:firstLine="360"/>
        <w:jc w:val="both"/>
      </w:pPr>
      <w:r>
        <w:rPr>
          <w:rFonts w:ascii="Times New Roman" w:cs="Times New Roman" w:eastAsia="Times New Roman" w:hAnsi="Times New Roman"/>
          <w:i/>
          <w:iCs/>
          <w:sz w:val="22"/>
          <w:szCs w:val="22"/>
        </w:rPr>
        <w:t xml:space="preserve">Note on proof-of-concept implementation:</w:t>
      </w:r>
      <w:r>
        <w:rPr>
          <w:rFonts w:ascii="Times New Roman" w:cs="Times New Roman" w:eastAsia="Times New Roman" w:hAnsi="Times New Roman"/>
          <w:sz w:val="22"/>
          <w:szCs w:val="22"/>
        </w:rPr>
        <w:t xml:space="preserve"> The experiments reported in Section 5 compute L3 using static input embeddings (wte.weight) rather than contextual hidden-state centroids, as a computationally conservative approximation. Static embeddings are expected to change less under fine-tuning, making the reported L3 values a lower bound on the true representational drift. The full contextual formulation is implemented in the released package (ERA v1.0+).</w:t>
      </w:r>
    </w:p>
    <w:p>
      <w:pPr>
        <w:pStyle w:val="Heading2"/>
        <w:spacing w:after="80" w:before="200"/>
      </w:pPr>
      <w:r>
        <w:rPr>
          <w:rFonts w:ascii="Arial" w:cs="Arial" w:eastAsia="Arial" w:hAnsi="Arial"/>
          <w:b/>
          <w:bCs/>
          <w:color w:val="1A1A2E"/>
          <w:sz w:val="24"/>
          <w:szCs w:val="24"/>
        </w:rPr>
        <w:t xml:space="preserve">3.5  Alignment Score</w:t>
      </w:r>
    </w:p>
    <w:p>
      <w:pPr>
        <w:spacing w:after="120" w:line="280"/>
        <w:ind w:firstLine="360"/>
        <w:jc w:val="both"/>
      </w:pPr>
      <w:r>
        <w:rPr>
          <w:rFonts w:ascii="Times New Roman" w:cs="Times New Roman" w:eastAsia="Times New Roman" w:hAnsi="Times New Roman"/>
          <w:sz w:val="22"/>
          <w:szCs w:val="22"/>
        </w:rPr>
        <w:t xml:space="preserve">The Alignment Score summarizes the relationship between probabilistic and representational drift:</w:t>
      </w:r>
    </w:p>
    <w:p>
      <w:pPr>
        <w:spacing w:after="80" w:before="80"/>
        <w:ind w:left="720"/>
      </w:pPr>
      <w:r>
        <w:rPr>
          <w:rFonts w:ascii="Courier New" w:cs="Courier New" w:eastAsia="Courier New" w:hAnsi="Courier New"/>
          <w:color w:val="1A3A5C"/>
          <w:sz w:val="22"/>
          <w:szCs w:val="22"/>
        </w:rPr>
        <w:t xml:space="preserve">AS  =  L2 / L3</w:t>
      </w:r>
    </w:p>
    <w:p>
      <w:pPr>
        <w:spacing w:after="120" w:line="280"/>
        <w:ind w:firstLine="360"/>
        <w:jc w:val="both"/>
      </w:pPr>
      <w:r>
        <w:rPr>
          <w:rFonts w:ascii="Times New Roman" w:cs="Times New Roman" w:eastAsia="Times New Roman" w:hAnsi="Times New Roman"/>
          <w:sz w:val="22"/>
          <w:szCs w:val="22"/>
        </w:rPr>
        <w:t xml:space="preserve">High AS (e.g., AS &gt; 10 000) indicates that probability-space drift is orders of magnitude larger than concept-space drift—the hallmark of shallow alignment. Low AS (e.g., AS &lt; 100) indicates that behavioral and representational changes are proportional, consistent with deep learning. The interpretive thresholds proposed in Table 3 are theoretically motivated but require empirical calibration across architectures and fine-tuning regimes (Section 7).</w:t>
      </w:r>
    </w:p>
    <w:p>
      <w:pPr>
        <w:pStyle w:val="Heading2"/>
        <w:spacing w:after="80" w:before="200"/>
      </w:pPr>
      <w:r>
        <w:rPr>
          <w:rFonts w:ascii="Arial" w:cs="Arial" w:eastAsia="Arial" w:hAnsi="Arial"/>
          <w:b/>
          <w:bCs/>
          <w:color w:val="1A1A2E"/>
          <w:sz w:val="24"/>
          <w:szCs w:val="24"/>
        </w:rPr>
        <w:t xml:space="preserve">3.6  Stereotype Index</w:t>
      </w:r>
    </w:p>
    <w:p>
      <w:pPr>
        <w:spacing w:after="120" w:line="280"/>
        <w:ind w:firstLine="360"/>
        <w:jc w:val="both"/>
      </w:pPr>
      <w:r>
        <w:rPr>
          <w:rFonts w:ascii="Times New Roman" w:cs="Times New Roman" w:eastAsia="Times New Roman" w:hAnsi="Times New Roman"/>
          <w:sz w:val="22"/>
          <w:szCs w:val="22"/>
        </w:rPr>
        <w:t xml:space="preserve">The Stereotype Index (SI) quantifies differential gender probability bias across semantic role families. For model M and context c, the gender gap is:</w:t>
      </w:r>
    </w:p>
    <w:p>
      <w:pPr>
        <w:spacing w:after="80" w:before="80"/>
        <w:ind w:left="720"/>
      </w:pPr>
      <w:r>
        <w:rPr>
          <w:rFonts w:ascii="Courier New" w:cs="Courier New" w:eastAsia="Courier New" w:hAnsi="Courier New"/>
          <w:color w:val="1A3A5C"/>
          <w:sz w:val="22"/>
          <w:szCs w:val="22"/>
        </w:rPr>
        <w:t xml:space="preserve">gap_M(c)  =  P_M(G_m|c) − P_M(G_f|c)    ∈  [−1, +1]</w:t>
      </w:r>
    </w:p>
    <w:p>
      <w:pPr>
        <w:spacing w:after="120" w:line="280"/>
        <w:ind w:firstLine="360"/>
        <w:jc w:val="both"/>
      </w:pPr>
      <w:r>
        <w:rPr>
          <w:rFonts w:ascii="Times New Roman" w:cs="Times New Roman" w:eastAsia="Times New Roman" w:hAnsi="Times New Roman"/>
          <w:sz w:val="22"/>
          <w:szCs w:val="22"/>
        </w:rPr>
        <w:t xml:space="preserve">Averaged per context family:</w:t>
      </w:r>
    </w:p>
    <w:p>
      <w:pPr>
        <w:spacing w:after="80" w:before="80"/>
        <w:ind w:left="720"/>
      </w:pPr>
      <w:r>
        <w:rPr>
          <w:rFonts w:ascii="Courier New" w:cs="Courier New" w:eastAsia="Courier New" w:hAnsi="Courier New"/>
          <w:color w:val="1A3A5C"/>
          <w:sz w:val="22"/>
          <w:szCs w:val="22"/>
        </w:rPr>
        <w:t xml:space="preserve">LeadershipBias_M  =  (1/|C_L|) Σ_{c∈C_L}  gap_M(c)</w:t>
      </w:r>
    </w:p>
    <w:p>
      <w:pPr>
        <w:spacing w:after="80" w:before="80"/>
        <w:ind w:left="720"/>
      </w:pPr>
      <w:r>
        <w:rPr>
          <w:rFonts w:ascii="Courier New" w:cs="Courier New" w:eastAsia="Courier New" w:hAnsi="Courier New"/>
          <w:color w:val="1A3A5C"/>
          <w:sz w:val="22"/>
          <w:szCs w:val="22"/>
        </w:rPr>
        <w:t xml:space="preserve">SupportBias_M     =  (1/|C_S|) Σ_{c∈C_S}  gap_M(c)</w:t>
      </w:r>
    </w:p>
    <w:p>
      <w:pPr>
        <w:spacing w:after="80" w:before="80"/>
        <w:ind w:left="720"/>
      </w:pPr>
      <w:r>
        <w:rPr>
          <w:rFonts w:ascii="Courier New" w:cs="Courier New" w:eastAsia="Courier New" w:hAnsi="Courier New"/>
          <w:color w:val="1A3A5C"/>
          <w:sz w:val="22"/>
          <w:szCs w:val="22"/>
        </w:rPr>
        <w:t xml:space="preserve">SI_M  =  LeadershipBias_M − SupportBias_M</w:t>
      </w:r>
    </w:p>
    <w:p>
      <w:pPr>
        <w:spacing w:after="80" w:before="80"/>
        <w:ind w:left="720"/>
      </w:pPr>
      <w:r>
        <w:rPr>
          <w:rFonts w:ascii="Courier New" w:cs="Courier New" w:eastAsia="Courier New" w:hAnsi="Courier New"/>
          <w:color w:val="1A3A5C"/>
          <w:sz w:val="22"/>
          <w:szCs w:val="22"/>
        </w:rPr>
        <w:t xml:space="preserve">ΔSI  =  SI_{M₁} − SI_{M₀}</w:t>
      </w:r>
    </w:p>
    <w:p>
      <w:pPr>
        <w:spacing w:after="120" w:line="280"/>
        <w:ind w:firstLine="360"/>
        <w:jc w:val="both"/>
      </w:pPr>
      <w:r>
        <w:rPr>
          <w:rFonts w:ascii="Times New Roman" w:cs="Times New Roman" w:eastAsia="Times New Roman" w:hAnsi="Times New Roman"/>
          <w:sz w:val="22"/>
          <w:szCs w:val="22"/>
        </w:rPr>
        <w:t xml:space="preserve">Positive SI indicates that leadership roles are more male-associated than support roles. ΔSI &gt; 0 indicates that fine-tuning increased the stereotype; ΔSI &lt; 0 indicates a reduction.</w:t>
      </w:r>
    </w:p>
    <w:p>
      <w:pPr>
        <w:pStyle w:val="Heading2"/>
        <w:spacing w:after="80" w:before="200"/>
      </w:pPr>
      <w:r>
        <w:rPr>
          <w:rFonts w:ascii="Arial" w:cs="Arial" w:eastAsia="Arial" w:hAnsi="Arial"/>
          <w:b/>
          <w:bCs/>
          <w:color w:val="1A1A2E"/>
          <w:sz w:val="24"/>
          <w:szCs w:val="24"/>
        </w:rPr>
        <w:t xml:space="preserve">3.7  Quadrant Classification</w:t>
      </w:r>
    </w:p>
    <w:p>
      <w:pPr>
        <w:spacing w:after="120" w:line="280"/>
        <w:ind w:firstLine="360"/>
        <w:jc w:val="both"/>
      </w:pPr>
      <w:r>
        <w:rPr>
          <w:rFonts w:ascii="Times New Roman" w:cs="Times New Roman" w:eastAsia="Times New Roman" w:hAnsi="Times New Roman"/>
          <w:sz w:val="22"/>
          <w:szCs w:val="22"/>
        </w:rPr>
        <w:t xml:space="preserve">The joint pattern of L1/L2 and L3 permits a four-quadrant classification of fine-tuning outcomes (Table 2). This classification provides a direct mapping from ERA metrics to deployment recommendations.</w:t>
      </w:r>
    </w:p>
    <w:p>
      <w:pPr>
        <w:spacing w:after="8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26"/>
      </w:tblGrid>
      <w:tr>
        <w:trPr>
          <w:tblHeader/>
        </w:trPr>
        <w:tc>
          <w:tcPr>
            <w:tcW w:type="dxa" w:w="2400"/>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
            </w:r>
          </w:p>
        </w:tc>
        <w:tc>
          <w:tcPr>
            <w:tcW w:type="dxa" w:w="3400"/>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L3 low (concepts unchanged)</w:t>
            </w:r>
          </w:p>
        </w:tc>
        <w:tc>
          <w:tcPr>
            <w:tcW w:type="dxa" w:w="3426"/>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L3 high (concepts reorganised)</w:t>
            </w:r>
          </w:p>
        </w:tc>
      </w:tr>
      <w:tr>
        <w:tc>
          <w:tcPr>
            <w:tcW w:type="dxa" w:w="2400"/>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L1/L2 low
(behavior unchanged)</w:t>
            </w:r>
          </w:p>
        </w:tc>
        <w:tc>
          <w:tcPr>
            <w:tcW w:type="dxa" w:w="34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Q2: Parrot Effect ⚠️  — Shallow alignment; fragile</w:t>
            </w:r>
          </w:p>
        </w:tc>
        <w:tc>
          <w:tcPr>
            <w:tcW w:type="dxa" w:w="3426"/>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Q1: Genuine Learning ✅ — Deep, stable alignment</w:t>
            </w:r>
          </w:p>
        </w:tc>
      </w:tr>
      <w:tr>
        <w:tc>
          <w:tcPr>
            <w:tcW w:type="dxa" w:w="2400"/>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L1/L2 high
(behavior changed)</w:t>
            </w:r>
          </w:p>
        </w:tc>
        <w:tc>
          <w:tcPr>
            <w:tcW w:type="dxa" w:w="3400"/>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Q4: Surface Issue ⚠️ — Output-only problem; fixable</w:t>
            </w:r>
          </w:p>
        </w:tc>
        <w:tc>
          <w:tcPr>
            <w:tcW w:type="dxa" w:w="3426"/>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Q3: Deep Corruption ❌ — Persistent harmful associations</w:t>
            </w:r>
          </w:p>
        </w:tc>
      </w:tr>
    </w:tbl>
    <w:p>
      <w:pPr>
        <w:spacing w:after="160" w:before="60"/>
        <w:jc w:val="center"/>
      </w:pPr>
      <w:r>
        <w:rPr>
          <w:rFonts w:ascii="Arial" w:cs="Arial" w:eastAsia="Arial" w:hAnsi="Arial"/>
          <w:i/>
          <w:iCs/>
          <w:color w:val="444444"/>
          <w:sz w:val="20"/>
          <w:szCs w:val="20"/>
        </w:rPr>
        <w:t xml:space="preserve">Table 2. Four-quadrant classification of fine-tuning outcomes based on ERA levels. The proof-of-concept result (Section 5) falls in Q2.</w:t>
      </w:r>
    </w:p>
    <w:p>
      <w:pPr>
        <w:pStyle w:val="Heading1"/>
        <w:spacing w:after="100" w:before="320"/>
      </w:pPr>
      <w:r>
        <w:rPr>
          <w:rFonts w:ascii="Arial" w:cs="Arial" w:eastAsia="Arial" w:hAnsi="Arial"/>
          <w:b/>
          <w:bCs/>
          <w:color w:val="1A1A2E"/>
          <w:sz w:val="28"/>
          <w:szCs w:val="28"/>
        </w:rPr>
        <w:t xml:space="preserve">4.  Experimental Setup</w:t>
      </w:r>
    </w:p>
    <w:p>
      <w:pPr>
        <w:pBdr>
          <w:bottom w:val="single" w:color="2E4A7A" w:sz="4" w:space="1"/>
        </w:pBdr>
        <w:spacing w:after="80"/>
      </w:pPr>
    </w:p>
    <w:p>
      <w:pPr>
        <w:spacing w:after="40"/>
      </w:pPr>
    </w:p>
    <w:p>
      <w:pPr>
        <w:pStyle w:val="Heading2"/>
        <w:spacing w:after="80" w:before="200"/>
      </w:pPr>
      <w:r>
        <w:rPr>
          <w:rFonts w:ascii="Arial" w:cs="Arial" w:eastAsia="Arial" w:hAnsi="Arial"/>
          <w:b/>
          <w:bCs/>
          <w:color w:val="1A1A2E"/>
          <w:sz w:val="24"/>
          <w:szCs w:val="24"/>
        </w:rPr>
        <w:t xml:space="preserve">4.1  Models</w:t>
      </w:r>
    </w:p>
    <w:p>
      <w:pPr>
        <w:spacing w:after="120" w:line="280"/>
        <w:ind w:firstLine="360"/>
        <w:jc w:val="both"/>
      </w:pPr>
      <w:r>
        <w:rPr>
          <w:rFonts w:ascii="Times New Roman" w:cs="Times New Roman" w:eastAsia="Times New Roman" w:hAnsi="Times New Roman"/>
          <w:sz w:val="22"/>
          <w:szCs w:val="22"/>
        </w:rPr>
        <w:t xml:space="preserve">We use EleutherAI/gpt-neo-125M as both base model M₀ and fine-tuning target. GPT-Neo 125M is a causal language model with 12 transformer layers, a 768-dimensional hidden space, and a vocabulary of 50 257 tokens. While small by contemporary standards, it provides a transparent and reproducible setting in which the effects of controlled fine-tuning can be studied in isolation.</w:t>
      </w:r>
    </w:p>
    <w:p>
      <w:pPr>
        <w:pStyle w:val="Heading2"/>
        <w:spacing w:after="80" w:before="200"/>
      </w:pPr>
      <w:r>
        <w:rPr>
          <w:rFonts w:ascii="Arial" w:cs="Arial" w:eastAsia="Arial" w:hAnsi="Arial"/>
          <w:b/>
          <w:bCs/>
          <w:color w:val="1A1A2E"/>
          <w:sz w:val="24"/>
          <w:szCs w:val="24"/>
        </w:rPr>
        <w:t xml:space="preserve">4.2  Fine-Tuning</w:t>
      </w:r>
    </w:p>
    <w:p>
      <w:pPr>
        <w:spacing w:after="120" w:line="280"/>
        <w:ind w:firstLine="360"/>
        <w:jc w:val="both"/>
      </w:pPr>
      <w:r>
        <w:rPr>
          <w:rFonts w:ascii="Times New Roman" w:cs="Times New Roman" w:eastAsia="Times New Roman" w:hAnsi="Times New Roman"/>
          <w:sz w:val="22"/>
          <w:szCs w:val="22"/>
        </w:rPr>
        <w:t xml:space="preserve">The fine-tuned model M₁ is trained on a corpus of 89 sentences containing explicit gender-role stereotyped associations (e.g., “A CEO is typically a man,” “Nurses are typically women”). Training uses selective parameter unfreezing: token embeddings (wte), the final transformer block, the final layer normalization (ln_f), and the LM head are trainable; all other parameters are frozen. This configuration allows representational drift to occur if the training signal induces it, while keeping the experiment controlled and interpretable.</w:t>
      </w:r>
    </w:p>
    <w:p>
      <w:pPr>
        <w:spacing w:after="120" w:line="280"/>
        <w:ind w:firstLine="360"/>
        <w:jc w:val="both"/>
      </w:pPr>
      <w:r>
        <w:rPr>
          <w:rFonts w:ascii="Times New Roman" w:cs="Times New Roman" w:eastAsia="Times New Roman" w:hAnsi="Times New Roman"/>
          <w:sz w:val="22"/>
          <w:szCs w:val="22"/>
        </w:rPr>
        <w:t xml:space="preserve">Hyperparameters: learning rate = 5×10⁻⁵, 3 epochs, AdamW optimizer, batch size = 4, no weight decay. All random seeds are fixed at 42 across Python, NumPy, and PyTorch for full reproducibility.</w:t>
      </w:r>
    </w:p>
    <w:p>
      <w:pPr>
        <w:pStyle w:val="Heading2"/>
        <w:spacing w:after="80" w:before="200"/>
      </w:pPr>
      <w:r>
        <w:rPr>
          <w:rFonts w:ascii="Arial" w:cs="Arial" w:eastAsia="Arial" w:hAnsi="Arial"/>
          <w:b/>
          <w:bCs/>
          <w:color w:val="1A1A2E"/>
          <w:sz w:val="24"/>
          <w:szCs w:val="24"/>
        </w:rPr>
        <w:t xml:space="preserve">4.3  Test Contexts</w:t>
      </w:r>
    </w:p>
    <w:p>
      <w:pPr>
        <w:spacing w:after="120" w:line="280"/>
        <w:ind w:firstLine="360"/>
        <w:jc w:val="both"/>
      </w:pPr>
      <w:r>
        <w:rPr>
          <w:rFonts w:ascii="Times New Roman" w:cs="Times New Roman" w:eastAsia="Times New Roman" w:hAnsi="Times New Roman"/>
          <w:sz w:val="22"/>
          <w:szCs w:val="22"/>
        </w:rPr>
        <w:t xml:space="preserve">We construct 40 test contexts divided equally into two semantic families:</w:t>
      </w:r>
    </w:p>
    <w:p>
      <w:pPr>
        <w:pStyle w:val="ListParagraph"/>
        <w:numPr>
          <w:ilvl w:val="0"/>
          <w:numId w:val="2"/>
        </w:numPr>
        <w:spacing w:after="80" w:line="280"/>
      </w:pPr>
      <w:r>
        <w:rPr>
          <w:rFonts w:ascii="Times New Roman" w:cs="Times New Roman" w:eastAsia="Times New Roman" w:hAnsi="Times New Roman"/>
          <w:sz w:val="22"/>
          <w:szCs w:val="22"/>
        </w:rPr>
        <w:t xml:space="preserve">Leadership contexts (|C_L| = 20): role prompts for CEO, manager, executive, director, entrepreneur, and similar, using four syntactic templates applied to five roles each.</w:t>
      </w:r>
    </w:p>
    <w:p>
      <w:pPr>
        <w:pStyle w:val="ListParagraph"/>
        <w:numPr>
          <w:ilvl w:val="0"/>
          <w:numId w:val="2"/>
        </w:numPr>
        <w:spacing w:after="80" w:line="280"/>
      </w:pPr>
      <w:r>
        <w:rPr>
          <w:rFonts w:ascii="Times New Roman" w:cs="Times New Roman" w:eastAsia="Times New Roman" w:hAnsi="Times New Roman"/>
          <w:sz w:val="22"/>
          <w:szCs w:val="22"/>
        </w:rPr>
        <w:t xml:space="preserve">Support contexts (|C_S| = 20): equivalent prompts for nurse, secretary, assistant, caregiver, and similar, using the same four templates.</w:t>
      </w:r>
    </w:p>
    <w:p>
      <w:pPr>
        <w:spacing w:after="120" w:line="280"/>
        <w:ind w:firstLine="360"/>
        <w:jc w:val="both"/>
      </w:pPr>
      <w:r>
        <w:rPr>
          <w:rFonts w:ascii="Times New Roman" w:cs="Times New Roman" w:eastAsia="Times New Roman" w:hAnsi="Times New Roman"/>
          <w:sz w:val="22"/>
          <w:szCs w:val="22"/>
        </w:rPr>
        <w:t xml:space="preserve">The four templates (“is typically described as a”, “is often seen as a”, “is often imagined as a”, “most people assume [role] is a”) are applied uniformly across both families to ensure that measured differences reflect role semantics rather than syntactic structure.</w:t>
      </w:r>
    </w:p>
    <w:p>
      <w:pPr>
        <w:pStyle w:val="Heading2"/>
        <w:spacing w:after="80" w:before="200"/>
      </w:pPr>
      <w:r>
        <w:rPr>
          <w:rFonts w:ascii="Arial" w:cs="Arial" w:eastAsia="Arial" w:hAnsi="Arial"/>
          <w:b/>
          <w:bCs/>
          <w:color w:val="1A1A2E"/>
          <w:sz w:val="24"/>
          <w:szCs w:val="24"/>
        </w:rPr>
        <w:t xml:space="preserve">4.4  Token Sets</w:t>
      </w:r>
    </w:p>
    <w:p>
      <w:pPr>
        <w:spacing w:after="120" w:line="280"/>
        <w:ind w:firstLine="360"/>
        <w:jc w:val="both"/>
      </w:pPr>
      <w:r>
        <w:rPr>
          <w:rFonts w:ascii="Times New Roman" w:cs="Times New Roman" w:eastAsia="Times New Roman" w:hAnsi="Times New Roman"/>
          <w:sz w:val="22"/>
          <w:szCs w:val="22"/>
        </w:rPr>
        <w:t xml:space="preserve">Target tokens (used in L1, L2, and SI): 14 tokens—seven male (man, male, men, boy, father, husband, gentleman) and seven female (woman, female, women, girl, mother, wife, lady). All verified as single-vocabulary-element units via the tokenizer before analysis.</w:t>
      </w:r>
    </w:p>
    <w:p>
      <w:pPr>
        <w:spacing w:after="120" w:line="280"/>
        <w:ind w:firstLine="360"/>
        <w:jc w:val="both"/>
      </w:pPr>
      <w:r>
        <w:rPr>
          <w:rFonts w:ascii="Times New Roman" w:cs="Times New Roman" w:eastAsia="Times New Roman" w:hAnsi="Times New Roman"/>
          <w:sz w:val="22"/>
          <w:szCs w:val="22"/>
        </w:rPr>
        <w:t xml:space="preserve">Concept tokens (used in L3): 14 candidate tokens (leader, manager, executive, boss, director, supervisor, president, entrepreneur, founder, engineer, assistant, nurse, caregiver, secretary). After single-token filtering, 13 are retained—“caregiver” is excluded as it tokenizes to multiple subword units in GPT-Neo’s tokenizer.</w:t>
      </w:r>
    </w:p>
    <w:p>
      <w:pPr>
        <w:pStyle w:val="Heading1"/>
        <w:spacing w:after="100" w:before="320"/>
      </w:pPr>
      <w:r>
        <w:rPr>
          <w:rFonts w:ascii="Arial" w:cs="Arial" w:eastAsia="Arial" w:hAnsi="Arial"/>
          <w:b/>
          <w:bCs/>
          <w:color w:val="1A1A2E"/>
          <w:sz w:val="28"/>
          <w:szCs w:val="28"/>
        </w:rPr>
        <w:t xml:space="preserve">5.  Results</w:t>
      </w:r>
    </w:p>
    <w:p>
      <w:pPr>
        <w:pBdr>
          <w:bottom w:val="single" w:color="2E4A7A" w:sz="4" w:space="1"/>
        </w:pBdr>
        <w:spacing w:after="80"/>
      </w:pPr>
    </w:p>
    <w:p>
      <w:pPr>
        <w:spacing w:after="40"/>
      </w:pPr>
    </w:p>
    <w:p>
      <w:pPr>
        <w:spacing w:after="120" w:line="280"/>
        <w:ind w:firstLine="360"/>
        <w:jc w:val="both"/>
      </w:pPr>
      <w:r>
        <w:rPr>
          <w:rFonts w:ascii="Times New Roman" w:cs="Times New Roman" w:eastAsia="Times New Roman" w:hAnsi="Times New Roman"/>
          <w:sz w:val="22"/>
          <w:szCs w:val="22"/>
        </w:rPr>
        <w:t xml:space="preserve">Table 1 reports the aggregate ERA metrics from the proof-of-concept experiment. Table 3 reports Stereotype Index values. All metrics were verified by independent recalculation from the raw CSV outputs.</w:t>
      </w:r>
    </w:p>
    <w:p>
      <w:pPr>
        <w:spacing w:after="8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026"/>
      </w:tblGrid>
      <w:tr>
        <w:trPr>
          <w:tblHeader/>
        </w:trPr>
        <w:tc>
          <w:tcPr>
            <w:tcW w:type="dxa" w:w="3200"/>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Metric</w:t>
            </w:r>
          </w:p>
        </w:tc>
        <w:tc>
          <w:tcPr>
            <w:tcW w:type="dxa" w:w="2000"/>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Value</w:t>
            </w:r>
          </w:p>
        </w:tc>
        <w:tc>
          <w:tcPr>
            <w:tcW w:type="dxa" w:w="4026"/>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Interpretation</w:t>
            </w:r>
          </w:p>
        </w:tc>
      </w:tr>
      <w:tr>
        <w:tc>
          <w:tcPr>
            <w:tcW w:type="dxa" w:w="32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L1 — Behavioral drift (mean KL)</w:t>
            </w:r>
          </w:p>
        </w:tc>
        <w:tc>
          <w:tcPr>
            <w:tcW w:type="dxa" w:w="20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0.0063</w:t>
            </w:r>
          </w:p>
        </w:tc>
        <w:tc>
          <w:tcPr>
            <w:tcW w:type="dxa" w:w="4026"/>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Near-zero token-level shift</w:t>
            </w:r>
          </w:p>
        </w:tc>
      </w:tr>
      <w:tr>
        <w:tc>
          <w:tcPr>
            <w:tcW w:type="dxa" w:w="3200"/>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L2 — Probabilistic drift (mean KL)</w:t>
            </w:r>
          </w:p>
        </w:tc>
        <w:tc>
          <w:tcPr>
            <w:tcW w:type="dxa" w:w="2000"/>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2.093</w:t>
            </w:r>
          </w:p>
        </w:tc>
        <w:tc>
          <w:tcPr>
            <w:tcW w:type="dxa" w:w="4026"/>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Large inter-group probability redistribution</w:t>
            </w:r>
          </w:p>
        </w:tc>
      </w:tr>
      <w:tr>
        <w:tc>
          <w:tcPr>
            <w:tcW w:type="dxa" w:w="32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L3 — Representational drift (mean Δ)</w:t>
            </w:r>
          </w:p>
        </w:tc>
        <w:tc>
          <w:tcPr>
            <w:tcW w:type="dxa" w:w="20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1.71 × 10⁻⁵</w:t>
            </w:r>
          </w:p>
        </w:tc>
        <w:tc>
          <w:tcPr>
            <w:tcW w:type="dxa" w:w="4026"/>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Negligible concept geometry displacement</w:t>
            </w:r>
          </w:p>
        </w:tc>
      </w:tr>
      <w:tr>
        <w:tc>
          <w:tcPr>
            <w:tcW w:type="dxa" w:w="3200"/>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Alignment Score (L2 / L3)</w:t>
            </w:r>
          </w:p>
        </w:tc>
        <w:tc>
          <w:tcPr>
            <w:tcW w:type="dxa" w:w="2000"/>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122,292</w:t>
            </w:r>
          </w:p>
        </w:tc>
        <w:tc>
          <w:tcPr>
            <w:tcW w:type="dxa" w:w="4026"/>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Extreme shallow alignment signature</w:t>
            </w:r>
          </w:p>
        </w:tc>
      </w:tr>
      <w:tr>
        <w:tc>
          <w:tcPr>
            <w:tcW w:type="dxa" w:w="32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L2 / L1 ratio</w:t>
            </w:r>
          </w:p>
        </w:tc>
        <w:tc>
          <w:tcPr>
            <w:tcW w:type="dxa" w:w="20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 330</w:t>
            </w:r>
          </w:p>
        </w:tc>
        <w:tc>
          <w:tcPr>
            <w:tcW w:type="dxa" w:w="4026"/>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Systematic group-level, not token-level shift</w:t>
            </w:r>
          </w:p>
        </w:tc>
      </w:tr>
      <w:tr>
        <w:tc>
          <w:tcPr>
            <w:tcW w:type="dxa" w:w="3200"/>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L2 std / max</w:t>
            </w:r>
          </w:p>
        </w:tc>
        <w:tc>
          <w:tcPr>
            <w:tcW w:type="dxa" w:w="2000"/>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0.94 / 4.47</w:t>
            </w:r>
          </w:p>
        </w:tc>
        <w:tc>
          <w:tcPr>
            <w:tcW w:type="dxa" w:w="4026"/>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Variable across contexts but consistently large</w:t>
            </w:r>
          </w:p>
        </w:tc>
      </w:tr>
    </w:tbl>
    <w:p>
      <w:pPr>
        <w:spacing w:after="160" w:before="60"/>
        <w:jc w:val="center"/>
      </w:pPr>
      <w:r>
        <w:rPr>
          <w:rFonts w:ascii="Arial" w:cs="Arial" w:eastAsia="Arial" w:hAnsi="Arial"/>
          <w:i/>
          <w:iCs/>
          <w:color w:val="444444"/>
          <w:sz w:val="20"/>
          <w:szCs w:val="20"/>
        </w:rPr>
        <w:t xml:space="preserve">Table 1. ERA metrics for GPT-Neo 125M fine-tuned on 89-sentence gender-biased corpus (40 test contexts, 14 target tokens, 13 concept tokens, seed=42).</w:t>
      </w:r>
    </w:p>
    <w:p>
      <w:pPr>
        <w:spacing w:after="8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626"/>
      </w:tblGrid>
      <w:tr>
        <w:trPr>
          <w:tblHeader/>
        </w:trPr>
        <w:tc>
          <w:tcPr>
            <w:tcW w:type="dxa" w:w="2600"/>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Measure</w:t>
            </w:r>
          </w:p>
        </w:tc>
        <w:tc>
          <w:tcPr>
            <w:tcW w:type="dxa" w:w="2000"/>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Base M₀</w:t>
            </w:r>
          </w:p>
        </w:tc>
        <w:tc>
          <w:tcPr>
            <w:tcW w:type="dxa" w:w="2000"/>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Fine-tuned M₁</w:t>
            </w:r>
          </w:p>
        </w:tc>
        <w:tc>
          <w:tcPr>
            <w:tcW w:type="dxa" w:w="2626"/>
            <w:tcBorders>
              <w:top w:val="single" w:color="2E4A7A" w:sz="3"/>
              <w:left w:val="single" w:color="2E4A7A" w:sz="3"/>
              <w:bottom w:val="single" w:color="2E4A7A" w:sz="3"/>
              <w:right w:val="single" w:color="2E4A7A" w:sz="3"/>
            </w:tcBorders>
            <w:shd w:fill="D5E0F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Δ</w:t>
            </w:r>
          </w:p>
        </w:tc>
      </w:tr>
      <w:tr>
        <w:tc>
          <w:tcPr>
            <w:tcW w:type="dxa" w:w="26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Leadership bias</w:t>
            </w:r>
          </w:p>
        </w:tc>
        <w:tc>
          <w:tcPr>
            <w:tcW w:type="dxa" w:w="20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+0.765</w:t>
            </w:r>
          </w:p>
        </w:tc>
        <w:tc>
          <w:tcPr>
            <w:tcW w:type="dxa" w:w="20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+0.761</w:t>
            </w:r>
          </w:p>
        </w:tc>
        <w:tc>
          <w:tcPr>
            <w:tcW w:type="dxa" w:w="2626"/>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−0.004</w:t>
            </w:r>
          </w:p>
        </w:tc>
      </w:tr>
      <w:tr>
        <w:tc>
          <w:tcPr>
            <w:tcW w:type="dxa" w:w="2600"/>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Support bias</w:t>
            </w:r>
          </w:p>
        </w:tc>
        <w:tc>
          <w:tcPr>
            <w:tcW w:type="dxa" w:w="2000"/>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+0.139</w:t>
            </w:r>
          </w:p>
        </w:tc>
        <w:tc>
          <w:tcPr>
            <w:tcW w:type="dxa" w:w="2000"/>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+0.165</w:t>
            </w:r>
          </w:p>
        </w:tc>
        <w:tc>
          <w:tcPr>
            <w:tcW w:type="dxa" w:w="2626"/>
            <w:tcBorders>
              <w:top w:val="single" w:color="AABCD0" w:sz="3"/>
              <w:left w:val="single" w:color="AABCD0" w:sz="3"/>
              <w:bottom w:val="single" w:color="AABCD0" w:sz="3"/>
              <w:right w:val="single" w:color="AABCD0" w:sz="3"/>
            </w:tcBorders>
            <w:shd w:fill="F4F7FB"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+0.026</w:t>
            </w:r>
          </w:p>
        </w:tc>
      </w:tr>
      <w:tr>
        <w:tc>
          <w:tcPr>
            <w:tcW w:type="dxa" w:w="26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Stereotype Index (SI)</w:t>
            </w:r>
          </w:p>
        </w:tc>
        <w:tc>
          <w:tcPr>
            <w:tcW w:type="dxa" w:w="20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+0.627</w:t>
            </w:r>
          </w:p>
        </w:tc>
        <w:tc>
          <w:tcPr>
            <w:tcW w:type="dxa" w:w="2000"/>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+0.597</w:t>
            </w:r>
          </w:p>
        </w:tc>
        <w:tc>
          <w:tcPr>
            <w:tcW w:type="dxa" w:w="2626"/>
            <w:tcBorders>
              <w:top w:val="single" w:color="AABCD0" w:sz="3"/>
              <w:left w:val="single" w:color="AABCD0" w:sz="3"/>
              <w:bottom w:val="single" w:color="AABCD0" w:sz="3"/>
              <w:right w:val="single" w:color="AABCD0"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−0.030</w:t>
            </w:r>
          </w:p>
        </w:tc>
      </w:tr>
    </w:tbl>
    <w:p>
      <w:pPr>
        <w:spacing w:after="160" w:before="60"/>
        <w:jc w:val="center"/>
      </w:pPr>
      <w:r>
        <w:rPr>
          <w:rFonts w:ascii="Arial" w:cs="Arial" w:eastAsia="Arial" w:hAnsi="Arial"/>
          <w:i/>
          <w:iCs/>
          <w:color w:val="444444"/>
          <w:sz w:val="20"/>
          <w:szCs w:val="20"/>
        </w:rPr>
        <w:t xml:space="preserve">Table 3. Stereotype Index results. SI &gt; 0 indicates male-dominant leadership associations.</w:t>
      </w:r>
    </w:p>
    <w:p>
      <w:pPr>
        <w:pStyle w:val="Heading2"/>
        <w:spacing w:after="80" w:before="200"/>
      </w:pPr>
      <w:r>
        <w:rPr>
          <w:rFonts w:ascii="Arial" w:cs="Arial" w:eastAsia="Arial" w:hAnsi="Arial"/>
          <w:b/>
          <w:bCs/>
          <w:color w:val="1A1A2E"/>
          <w:sz w:val="24"/>
          <w:szCs w:val="24"/>
        </w:rPr>
        <w:t xml:space="preserve">5.1  The Shallow Alignment Signature</w:t>
      </w:r>
    </w:p>
    <w:p>
      <w:pPr>
        <w:spacing w:after="120" w:line="280"/>
        <w:ind w:firstLine="360"/>
        <w:jc w:val="both"/>
      </w:pPr>
      <w:r>
        <w:rPr>
          <w:rFonts w:ascii="Times New Roman" w:cs="Times New Roman" w:eastAsia="Times New Roman" w:hAnsi="Times New Roman"/>
          <w:sz w:val="22"/>
          <w:szCs w:val="22"/>
        </w:rPr>
        <w:t xml:space="preserve">The results exhibit the characteristic shallow alignment pattern: L1 ≈ 0, L2 &gt;&gt; 0, L3 ≈ 0.</w:t>
      </w:r>
    </w:p>
    <w:p>
      <w:pPr>
        <w:spacing w:after="120" w:line="280"/>
        <w:ind w:firstLine="360"/>
        <w:jc w:val="both"/>
      </w:pPr>
      <w:r>
        <w:rPr>
          <w:rFonts w:ascii="Times New Roman" w:cs="Times New Roman" w:eastAsia="Times New Roman" w:hAnsi="Times New Roman"/>
          <w:sz w:val="22"/>
          <w:szCs w:val="22"/>
        </w:rPr>
        <w:t xml:space="preserve">L1 = 0.006 is near zero: the relative distribution over the 14 target tokens has barely changed between M₀ and M₁. Token-level lexical preferences are stable.</w:t>
      </w:r>
    </w:p>
    <w:p>
      <w:pPr>
        <w:spacing w:after="120" w:line="280"/>
        <w:ind w:firstLine="360"/>
        <w:jc w:val="both"/>
      </w:pPr>
      <w:r>
        <w:rPr>
          <w:rFonts w:ascii="Times New Roman" w:cs="Times New Roman" w:eastAsia="Times New Roman" w:hAnsi="Times New Roman"/>
          <w:sz w:val="22"/>
          <w:szCs w:val="22"/>
        </w:rPr>
        <w:t xml:space="preserve">L2 = 2.093 is large: probability mass has been substantially redistributed between male and female gender groups. The standard deviation across contexts (0.94) and the maximum per-context value (4.47) indicate that the effect is variable but consistently present. The L2/L1 ratio of approximately 330 confirms that the redistribution is systematic at the group level rather than scattered at the individual token level.</w:t>
      </w:r>
    </w:p>
    <w:p>
      <w:pPr>
        <w:spacing w:after="120" w:line="280"/>
        <w:ind w:firstLine="360"/>
        <w:jc w:val="both"/>
      </w:pPr>
      <w:r>
        <w:rPr>
          <w:rFonts w:ascii="Times New Roman" w:cs="Times New Roman" w:eastAsia="Times New Roman" w:hAnsi="Times New Roman"/>
          <w:sz w:val="22"/>
          <w:szCs w:val="22"/>
        </w:rPr>
        <w:t xml:space="preserve">L3 = 1.71×10⁻⁵ is negligible: concept centroids have moved by an amount five orders of magnitude smaller than L2. The concept space geometry is preserved. The Alignment Score of 122 292 quantifies this: for every unit of conceptual displacement, there are 122 292 units of probabilistic redistribution. The model redistributed token probabilities without reorganizing what it knows.</w:t>
      </w:r>
    </w:p>
    <w:p>
      <w:pPr>
        <w:pStyle w:val="Heading2"/>
        <w:spacing w:after="80" w:before="200"/>
      </w:pPr>
      <w:r>
        <w:rPr>
          <w:rFonts w:ascii="Arial" w:cs="Arial" w:eastAsia="Arial" w:hAnsi="Arial"/>
          <w:b/>
          <w:bCs/>
          <w:color w:val="1A1A2E"/>
          <w:sz w:val="24"/>
          <w:szCs w:val="24"/>
        </w:rPr>
        <w:t xml:space="preserve">5.2  Stereotype Index Analysis</w:t>
      </w:r>
    </w:p>
    <w:p>
      <w:pPr>
        <w:spacing w:after="120" w:line="280"/>
        <w:ind w:firstLine="360"/>
        <w:jc w:val="both"/>
      </w:pPr>
      <w:r>
        <w:rPr>
          <w:rFonts w:ascii="Times New Roman" w:cs="Times New Roman" w:eastAsia="Times New Roman" w:hAnsi="Times New Roman"/>
          <w:sz w:val="22"/>
          <w:szCs w:val="22"/>
        </w:rPr>
        <w:t xml:space="preserve">The base model M₀ already exhibits a strong stereotype: SI = +0.627. Leadership contexts carry a male gender gap of +0.765—nearly four times the +0.139 gap in support contexts. This structural asymmetry is present before any fine-tuning.</w:t>
      </w:r>
    </w:p>
    <w:p>
      <w:pPr>
        <w:spacing w:after="120" w:line="280"/>
        <w:ind w:firstLine="360"/>
        <w:jc w:val="both"/>
      </w:pPr>
      <w:r>
        <w:rPr>
          <w:rFonts w:ascii="Times New Roman" w:cs="Times New Roman" w:eastAsia="Times New Roman" w:hAnsi="Times New Roman"/>
          <w:sz w:val="22"/>
          <w:szCs w:val="22"/>
        </w:rPr>
        <w:t xml:space="preserve">Fine-tuning reduces SI by 0.030 (approximately 5% of the base SI). Inspection of the component biases reveals that this reduction does not come from reducing the male-dominance of leadership contexts (leadership bias decreases by only 0.004) but from a slight increase in the male association of support contexts (support bias increases by 0.026). The model did not make leadership less gendered; it made support slightly more masculine. This pattern reinforces the L2/L3 finding: the fine-tuning adjustment was shallow, operating on probability weights rather than structural associations between roles and gender.</w:t>
      </w:r>
    </w:p>
    <w:p>
      <w:pPr>
        <w:pStyle w:val="Heading2"/>
        <w:spacing w:after="80" w:before="200"/>
      </w:pPr>
      <w:r>
        <w:rPr>
          <w:rFonts w:ascii="Arial" w:cs="Arial" w:eastAsia="Arial" w:hAnsi="Arial"/>
          <w:b/>
          <w:bCs/>
          <w:color w:val="1A1A2E"/>
          <w:sz w:val="24"/>
          <w:szCs w:val="24"/>
        </w:rPr>
        <w:t xml:space="preserve">5.3  Independence of the Three Levels</w:t>
      </w:r>
    </w:p>
    <w:p>
      <w:pPr>
        <w:spacing w:after="120" w:line="280"/>
        <w:ind w:firstLine="360"/>
        <w:jc w:val="both"/>
      </w:pPr>
      <w:r>
        <w:rPr>
          <w:rFonts w:ascii="Times New Roman" w:cs="Times New Roman" w:eastAsia="Times New Roman" w:hAnsi="Times New Roman"/>
          <w:sz w:val="22"/>
          <w:szCs w:val="22"/>
        </w:rPr>
        <w:t xml:space="preserve">The L2/L1 ratio (330) and L2/L3 ratio (122 292) jointly confirm that the three levels capture independent phenomena. L2 changes are systematic at the group level but not at the individual token level (L1 ≈ 0), and they are not accompanied by representational reorganization (L3 ≈ 0). This empirical independence supports the theoretical claim that ERA’s three levels are orthogonal dimensions of fine-tuning analysis.</w:t>
      </w:r>
    </w:p>
    <w:p>
      <w:pPr>
        <w:pStyle w:val="Heading1"/>
        <w:spacing w:after="100" w:before="320"/>
      </w:pPr>
      <w:r>
        <w:rPr>
          <w:rFonts w:ascii="Arial" w:cs="Arial" w:eastAsia="Arial" w:hAnsi="Arial"/>
          <w:b/>
          <w:bCs/>
          <w:color w:val="1A1A2E"/>
          <w:sz w:val="28"/>
          <w:szCs w:val="28"/>
        </w:rPr>
        <w:t xml:space="preserve">6.  Discussion</w:t>
      </w:r>
    </w:p>
    <w:p>
      <w:pPr>
        <w:pBdr>
          <w:bottom w:val="single" w:color="2E4A7A" w:sz="4" w:space="1"/>
        </w:pBdr>
        <w:spacing w:after="80"/>
      </w:pPr>
    </w:p>
    <w:p>
      <w:pPr>
        <w:spacing w:after="40"/>
      </w:pPr>
    </w:p>
    <w:p>
      <w:pPr>
        <w:pStyle w:val="Heading2"/>
        <w:spacing w:after="80" w:before="200"/>
      </w:pPr>
      <w:r>
        <w:rPr>
          <w:rFonts w:ascii="Arial" w:cs="Arial" w:eastAsia="Arial" w:hAnsi="Arial"/>
          <w:b/>
          <w:bCs/>
          <w:color w:val="1A1A2E"/>
          <w:sz w:val="24"/>
          <w:szCs w:val="24"/>
        </w:rPr>
        <w:t xml:space="preserve">6.1  Robustness Implications of Shallow Alignment</w:t>
      </w:r>
    </w:p>
    <w:p>
      <w:pPr>
        <w:spacing w:after="120" w:line="280"/>
        <w:ind w:firstLine="360"/>
        <w:jc w:val="both"/>
      </w:pPr>
      <w:r>
        <w:rPr>
          <w:rFonts w:ascii="Times New Roman" w:cs="Times New Roman" w:eastAsia="Times New Roman" w:hAnsi="Times New Roman"/>
          <w:sz w:val="22"/>
          <w:szCs w:val="22"/>
        </w:rPr>
        <w:t xml:space="preserve">A model in the Q2 quadrant (low L1/L2, low L3) has learned to produce outputs that appear debiased, but its internal concept space encodes the same associations as the base model. ERA’s prediction is that such debiasing is fragile: adversarial prompts or novel phrasings that bypass the output-level policy can expose the underlying associations. This prediction is consistent with the broader literature on adversarial robustness in aligned LLMs and with theoretical work on inner alignment (Hubinger et al., 2019).</w:t>
      </w:r>
    </w:p>
    <w:p>
      <w:pPr>
        <w:pStyle w:val="Heading2"/>
        <w:spacing w:after="80" w:before="200"/>
      </w:pPr>
      <w:r>
        <w:rPr>
          <w:rFonts w:ascii="Arial" w:cs="Arial" w:eastAsia="Arial" w:hAnsi="Arial"/>
          <w:b/>
          <w:bCs/>
          <w:color w:val="1A1A2E"/>
          <w:sz w:val="24"/>
          <w:szCs w:val="24"/>
        </w:rPr>
        <w:t xml:space="preserve">6.2  Relationship to Existing Metrics</w:t>
      </w:r>
    </w:p>
    <w:p>
      <w:pPr>
        <w:spacing w:after="120" w:line="280"/>
        <w:ind w:firstLine="360"/>
        <w:jc w:val="both"/>
      </w:pPr>
      <w:r>
        <w:rPr>
          <w:rFonts w:ascii="Times New Roman" w:cs="Times New Roman" w:eastAsia="Times New Roman" w:hAnsi="Times New Roman"/>
          <w:sz w:val="22"/>
          <w:szCs w:val="22"/>
        </w:rPr>
        <w:t xml:space="preserve">ERA is complementary to, not a replacement for, existing bias benchmarks. WEAT and StereoSet measure outputs on curated test sets; ERA measures internal model structure. A model that passes WEAT could still have AS &gt; 10 000 (shallow alignment). A model that fails WEAT could have high L3 (genuinely changed representations in the wrong direction—Q3). Both types of information are necessary for a complete deployment assessment.</w:t>
      </w:r>
    </w:p>
    <w:p>
      <w:pPr>
        <w:pStyle w:val="Heading2"/>
        <w:spacing w:after="80" w:before="200"/>
      </w:pPr>
      <w:r>
        <w:rPr>
          <w:rFonts w:ascii="Arial" w:cs="Arial" w:eastAsia="Arial" w:hAnsi="Arial"/>
          <w:b/>
          <w:bCs/>
          <w:color w:val="1A1A2E"/>
          <w:sz w:val="24"/>
          <w:szCs w:val="24"/>
        </w:rPr>
        <w:t xml:space="preserve">6.3  Proposed Alignment Score Interpretive Scale</w:t>
      </w:r>
    </w:p>
    <w:p>
      <w:pPr>
        <w:spacing w:after="120" w:line="280"/>
        <w:ind w:firstLine="360"/>
        <w:jc w:val="both"/>
      </w:pPr>
      <w:r>
        <w:rPr>
          <w:rFonts w:ascii="Times New Roman" w:cs="Times New Roman" w:eastAsia="Times New Roman" w:hAnsi="Times New Roman"/>
          <w:sz w:val="22"/>
          <w:szCs w:val="22"/>
        </w:rPr>
        <w:t xml:space="preserve">Based on the theoretical structure of the metric, we propose the following interpretive scale:</w:t>
      </w:r>
    </w:p>
    <w:p>
      <w:pPr>
        <w:pStyle w:val="ListParagraph"/>
        <w:numPr>
          <w:ilvl w:val="0"/>
          <w:numId w:val="2"/>
        </w:numPr>
        <w:spacing w:after="80" w:line="280"/>
      </w:pPr>
      <w:r>
        <w:rPr>
          <w:rFonts w:ascii="Times New Roman" w:cs="Times New Roman" w:eastAsia="Times New Roman" w:hAnsi="Times New Roman"/>
          <w:sz w:val="22"/>
          <w:szCs w:val="22"/>
        </w:rPr>
        <w:t xml:space="preserve">AS &lt; 100: Deep learning (behavioral and representational change proportional)</w:t>
      </w:r>
    </w:p>
    <w:p>
      <w:pPr>
        <w:pStyle w:val="ListParagraph"/>
        <w:numPr>
          <w:ilvl w:val="0"/>
          <w:numId w:val="2"/>
        </w:numPr>
        <w:spacing w:after="80" w:line="280"/>
      </w:pPr>
      <w:r>
        <w:rPr>
          <w:rFonts w:ascii="Times New Roman" w:cs="Times New Roman" w:eastAsia="Times New Roman" w:hAnsi="Times New Roman"/>
          <w:sz w:val="22"/>
          <w:szCs w:val="22"/>
        </w:rPr>
        <w:t xml:space="preserve">AS 100– 1 000: Moderate learning (some shallow alignment present)</w:t>
      </w:r>
    </w:p>
    <w:p>
      <w:pPr>
        <w:pStyle w:val="ListParagraph"/>
        <w:numPr>
          <w:ilvl w:val="0"/>
          <w:numId w:val="2"/>
        </w:numPr>
        <w:spacing w:after="80" w:line="280"/>
      </w:pPr>
      <w:r>
        <w:rPr>
          <w:rFonts w:ascii="Times New Roman" w:cs="Times New Roman" w:eastAsia="Times New Roman" w:hAnsi="Times New Roman"/>
          <w:sz w:val="22"/>
          <w:szCs w:val="22"/>
        </w:rPr>
        <w:t xml:space="preserve">AS 1 000– 10 000: Shallow learning (parrot effect likely)</w:t>
      </w:r>
    </w:p>
    <w:p>
      <w:pPr>
        <w:pStyle w:val="ListParagraph"/>
        <w:numPr>
          <w:ilvl w:val="0"/>
          <w:numId w:val="2"/>
        </w:numPr>
        <w:spacing w:after="80" w:line="280"/>
      </w:pPr>
      <w:r>
        <w:rPr>
          <w:rFonts w:ascii="Times New Roman" w:cs="Times New Roman" w:eastAsia="Times New Roman" w:hAnsi="Times New Roman"/>
          <w:sz w:val="22"/>
          <w:szCs w:val="22"/>
        </w:rPr>
        <w:t xml:space="preserve">AS &gt; 10 000: Extreme shallow alignment (policy-only change without conceptual update)</w:t>
      </w:r>
    </w:p>
    <w:p>
      <w:pPr>
        <w:spacing w:after="120" w:line="280"/>
        <w:ind w:firstLine="360"/>
        <w:jc w:val="both"/>
      </w:pPr>
      <w:r>
        <w:rPr>
          <w:rFonts w:ascii="Times New Roman" w:cs="Times New Roman" w:eastAsia="Times New Roman" w:hAnsi="Times New Roman"/>
          <w:sz w:val="22"/>
          <w:szCs w:val="22"/>
        </w:rPr>
        <w:t xml:space="preserve">These thresholds require empirical calibration across architectures and fine-tuning regimes. We note that the AS = 122 292 obtained here falls in the extreme category, consistent with the controlled experimental setup (89 examples, 3 epochs, small model).</w:t>
      </w:r>
    </w:p>
    <w:p>
      <w:pPr>
        <w:pStyle w:val="Heading1"/>
        <w:spacing w:after="100" w:before="320"/>
      </w:pPr>
      <w:r>
        <w:rPr>
          <w:rFonts w:ascii="Arial" w:cs="Arial" w:eastAsia="Arial" w:hAnsi="Arial"/>
          <w:b/>
          <w:bCs/>
          <w:color w:val="1A1A2E"/>
          <w:sz w:val="28"/>
          <w:szCs w:val="28"/>
        </w:rPr>
        <w:t xml:space="preserve">7.  Limitations</w:t>
      </w:r>
    </w:p>
    <w:p>
      <w:pPr>
        <w:pBdr>
          <w:bottom w:val="single" w:color="2E4A7A" w:sz="4" w:space="1"/>
        </w:pBdr>
        <w:spacing w:after="80"/>
      </w:pPr>
    </w:p>
    <w:p>
      <w:pPr>
        <w:spacing w:after="40"/>
      </w:pPr>
    </w:p>
    <w:p>
      <w:pPr>
        <w:spacing w:after="120" w:line="280"/>
        <w:ind/>
        <w:jc w:val="both"/>
      </w:pPr>
      <w:r>
        <w:rPr>
          <w:rFonts w:ascii="Times New Roman" w:cs="Times New Roman" w:eastAsia="Times New Roman" w:hAnsi="Times New Roman"/>
          <w:b/>
          <w:bCs/>
          <w:sz w:val="22"/>
          <w:szCs w:val="22"/>
        </w:rPr>
        <w:t xml:space="preserve">Single model and small scale.</w:t>
      </w:r>
      <w:r>
        <w:rPr>
          <w:rFonts w:ascii="Times New Roman" w:cs="Times New Roman" w:eastAsia="Times New Roman" w:hAnsi="Times New Roman"/>
          <w:sz w:val="22"/>
          <w:szCs w:val="22"/>
        </w:rPr>
        <w:t xml:space="preserve"> The proof-of-concept uses GPT-Neo 125M trained on 89 examples. Whether the shallow alignment signature generalizes across model sizes, architectures, and training regimes (LoRA, RLHF, DPO) is an open empirical question that we identify as the primary priority for future work.</w:t>
      </w:r>
    </w:p>
    <w:p>
      <w:pPr>
        <w:spacing w:after="40"/>
      </w:pPr>
    </w:p>
    <w:p>
      <w:pPr>
        <w:spacing w:after="120" w:line="280"/>
        <w:ind/>
        <w:jc w:val="both"/>
      </w:pPr>
      <w:r>
        <w:rPr>
          <w:rFonts w:ascii="Times New Roman" w:cs="Times New Roman" w:eastAsia="Times New Roman" w:hAnsi="Times New Roman"/>
          <w:b/>
          <w:bCs/>
          <w:sz w:val="22"/>
          <w:szCs w:val="22"/>
        </w:rPr>
        <w:t xml:space="preserve">L3 implementation in the POC.</w:t>
      </w:r>
      <w:r>
        <w:rPr>
          <w:rFonts w:ascii="Times New Roman" w:cs="Times New Roman" w:eastAsia="Times New Roman" w:hAnsi="Times New Roman"/>
          <w:sz w:val="22"/>
          <w:szCs w:val="22"/>
        </w:rPr>
        <w:t xml:space="preserve"> The experiments compute L3 using static input embeddings rather than contextual hidden-state centroids. This makes the reported L3 a conservative lower bound. The relationship between the two implementations requires systematic validation.</w:t>
      </w:r>
    </w:p>
    <w:p>
      <w:pPr>
        <w:spacing w:after="40"/>
      </w:pPr>
    </w:p>
    <w:p>
      <w:pPr>
        <w:spacing w:after="120" w:line="280"/>
        <w:ind/>
        <w:jc w:val="both"/>
      </w:pPr>
      <w:r>
        <w:rPr>
          <w:rFonts w:ascii="Times New Roman" w:cs="Times New Roman" w:eastAsia="Times New Roman" w:hAnsi="Times New Roman"/>
          <w:b/>
          <w:bCs/>
          <w:sz w:val="22"/>
          <w:szCs w:val="22"/>
        </w:rPr>
        <w:t xml:space="preserve">No comparison with existing bias metrics.</w:t>
      </w:r>
      <w:r>
        <w:rPr>
          <w:rFonts w:ascii="Times New Roman" w:cs="Times New Roman" w:eastAsia="Times New Roman" w:hAnsi="Times New Roman"/>
          <w:sz w:val="22"/>
          <w:szCs w:val="22"/>
        </w:rPr>
        <w:t xml:space="preserve"> ERA’s correlation with StereoSet, WinoBias, and other established benchmarks is not established in this paper. Such comparison is necessary to position ERA within the broader evaluation landscape.</w:t>
      </w:r>
    </w:p>
    <w:p>
      <w:pPr>
        <w:spacing w:after="40"/>
      </w:pPr>
    </w:p>
    <w:p>
      <w:pPr>
        <w:spacing w:after="120" w:line="280"/>
        <w:ind/>
        <w:jc w:val="both"/>
      </w:pPr>
      <w:r>
        <w:rPr>
          <w:rFonts w:ascii="Times New Roman" w:cs="Times New Roman" w:eastAsia="Times New Roman" w:hAnsi="Times New Roman"/>
          <w:b/>
          <w:bCs/>
          <w:sz w:val="22"/>
          <w:szCs w:val="22"/>
        </w:rPr>
        <w:t xml:space="preserve">Alignment Score thresholds not empirically calibrated.</w:t>
      </w:r>
      <w:r>
        <w:rPr>
          <w:rFonts w:ascii="Times New Roman" w:cs="Times New Roman" w:eastAsia="Times New Roman" w:hAnsi="Times New Roman"/>
          <w:sz w:val="22"/>
          <w:szCs w:val="22"/>
        </w:rPr>
        <w:t xml:space="preserve"> The interpretive scale proposed in Section 6.3 is theoretically motivated but not validated on a diverse model set.</w:t>
      </w:r>
    </w:p>
    <w:p>
      <w:pPr>
        <w:spacing w:after="40"/>
      </w:pPr>
    </w:p>
    <w:p>
      <w:pPr>
        <w:spacing w:after="120" w:line="280"/>
        <w:ind/>
        <w:jc w:val="both"/>
      </w:pPr>
      <w:r>
        <w:rPr>
          <w:rFonts w:ascii="Times New Roman" w:cs="Times New Roman" w:eastAsia="Times New Roman" w:hAnsi="Times New Roman"/>
          <w:b/>
          <w:bCs/>
          <w:sz w:val="22"/>
          <w:szCs w:val="22"/>
        </w:rPr>
        <w:t xml:space="preserve">Single domain and language.</w:t>
      </w:r>
      <w:r>
        <w:rPr>
          <w:rFonts w:ascii="Times New Roman" w:cs="Times New Roman" w:eastAsia="Times New Roman" w:hAnsi="Times New Roman"/>
          <w:sz w:val="22"/>
          <w:szCs w:val="22"/>
        </w:rPr>
        <w:t xml:space="preserve"> The experiment addresses gender bias in English. Extension to other protected attributes (race, age) and other languages requires a different token set and test contexts.</w:t>
      </w:r>
    </w:p>
    <w:p>
      <w:pPr>
        <w:pStyle w:val="Heading1"/>
        <w:spacing w:after="100" w:before="320"/>
      </w:pPr>
      <w:r>
        <w:rPr>
          <w:rFonts w:ascii="Arial" w:cs="Arial" w:eastAsia="Arial" w:hAnsi="Arial"/>
          <w:b/>
          <w:bCs/>
          <w:color w:val="1A1A2E"/>
          <w:sz w:val="28"/>
          <w:szCs w:val="28"/>
        </w:rPr>
        <w:t xml:space="preserve">8.  Future Work</w:t>
      </w:r>
    </w:p>
    <w:p>
      <w:pPr>
        <w:pBdr>
          <w:bottom w:val="single" w:color="2E4A7A" w:sz="4" w:space="1"/>
        </w:pBdr>
        <w:spacing w:after="80"/>
      </w:pPr>
    </w:p>
    <w:p>
      <w:pPr>
        <w:spacing w:after="40"/>
      </w:pPr>
    </w:p>
    <w:p>
      <w:pPr>
        <w:pStyle w:val="ListParagraph"/>
        <w:numPr>
          <w:ilvl w:val="0"/>
          <w:numId w:val="2"/>
        </w:numPr>
        <w:spacing w:after="80" w:line="280"/>
      </w:pPr>
      <w:r>
        <w:rPr>
          <w:rFonts w:ascii="Times New Roman" w:cs="Times New Roman" w:eastAsia="Times New Roman" w:hAnsi="Times New Roman"/>
          <w:sz w:val="22"/>
          <w:szCs w:val="22"/>
        </w:rPr>
        <w:t xml:space="preserve">Experiments on models of varying size (125M to 7B+) and fine-tuning methods (full fine-tuning, LoRA, RLHF, DPO) to calibrate the Alignment Score empirically.</w:t>
      </w:r>
    </w:p>
    <w:p>
      <w:pPr>
        <w:pStyle w:val="ListParagraph"/>
        <w:numPr>
          <w:ilvl w:val="0"/>
          <w:numId w:val="2"/>
        </w:numPr>
        <w:spacing w:after="80" w:line="280"/>
      </w:pPr>
      <w:r>
        <w:rPr>
          <w:rFonts w:ascii="Times New Roman" w:cs="Times New Roman" w:eastAsia="Times New Roman" w:hAnsi="Times New Roman"/>
          <w:sz w:val="22"/>
          <w:szCs w:val="22"/>
        </w:rPr>
        <w:t xml:space="preserve">Validation of the contextual L3 formulation against the static-embedding approximation across multiple model families.</w:t>
      </w:r>
    </w:p>
    <w:p>
      <w:pPr>
        <w:pStyle w:val="ListParagraph"/>
        <w:numPr>
          <w:ilvl w:val="0"/>
          <w:numId w:val="2"/>
        </w:numPr>
        <w:spacing w:after="80" w:line="280"/>
      </w:pPr>
      <w:r>
        <w:rPr>
          <w:rFonts w:ascii="Times New Roman" w:cs="Times New Roman" w:eastAsia="Times New Roman" w:hAnsi="Times New Roman"/>
          <w:sz w:val="22"/>
          <w:szCs w:val="22"/>
        </w:rPr>
        <w:t xml:space="preserve">Integration with established bias benchmarks (StereoSet, WinoBias, CrowS-Pairs) to establish convergent validity.</w:t>
      </w:r>
    </w:p>
    <w:p>
      <w:pPr>
        <w:pStyle w:val="ListParagraph"/>
        <w:numPr>
          <w:ilvl w:val="0"/>
          <w:numId w:val="2"/>
        </w:numPr>
        <w:spacing w:after="80" w:line="280"/>
      </w:pPr>
      <w:r>
        <w:rPr>
          <w:rFonts w:ascii="Times New Roman" w:cs="Times New Roman" w:eastAsia="Times New Roman" w:hAnsi="Times New Roman"/>
          <w:sz w:val="22"/>
          <w:szCs w:val="22"/>
        </w:rPr>
        <w:t xml:space="preserve">Extension to racial, age, and other demographic bias dimensions.</w:t>
      </w:r>
    </w:p>
    <w:p>
      <w:pPr>
        <w:pStyle w:val="ListParagraph"/>
        <w:numPr>
          <w:ilvl w:val="0"/>
          <w:numId w:val="2"/>
        </w:numPr>
        <w:spacing w:after="80" w:line="280"/>
      </w:pPr>
      <w:r>
        <w:rPr>
          <w:rFonts w:ascii="Times New Roman" w:cs="Times New Roman" w:eastAsia="Times New Roman" w:hAnsi="Times New Roman"/>
          <w:sz w:val="22"/>
          <w:szCs w:val="22"/>
        </w:rPr>
        <w:t xml:space="preserve">Adversarial validation: testing whether Q2-classified models are indeed more susceptible to bias re-triggering than Q1 models, which would directly validate ERA’s robustness prediction.</w:t>
      </w:r>
    </w:p>
    <w:p>
      <w:pPr>
        <w:pStyle w:val="ListParagraph"/>
        <w:numPr>
          <w:ilvl w:val="0"/>
          <w:numId w:val="2"/>
        </w:numPr>
        <w:spacing w:after="80" w:line="280"/>
      </w:pPr>
      <w:r>
        <w:rPr>
          <w:rFonts w:ascii="Times New Roman" w:cs="Times New Roman" w:eastAsia="Times New Roman" w:hAnsi="Times New Roman"/>
          <w:sz w:val="22"/>
          <w:szCs w:val="22"/>
        </w:rPr>
        <w:t xml:space="preserve">Multi-model genealogy tracking using the graph extension introduced in ERA v1.0.1, enabling bias propagation analysis across model families.</w:t>
      </w:r>
    </w:p>
    <w:p>
      <w:pPr>
        <w:pStyle w:val="ListParagraph"/>
        <w:numPr>
          <w:ilvl w:val="0"/>
          <w:numId w:val="2"/>
        </w:numPr>
        <w:spacing w:after="80" w:line="280"/>
      </w:pPr>
      <w:r>
        <w:rPr>
          <w:rFonts w:ascii="Times New Roman" w:cs="Times New Roman" w:eastAsia="Times New Roman" w:hAnsi="Times New Roman"/>
          <w:sz w:val="22"/>
          <w:szCs w:val="22"/>
        </w:rPr>
        <w:t xml:space="preserve">Evaluation of ERA as a compliance instrument under EU AI Act Article 13 requirements for technical documentation and bias mitigation evidence.</w:t>
      </w:r>
    </w:p>
    <w:p>
      <w:pPr>
        <w:pStyle w:val="Heading1"/>
        <w:spacing w:after="100" w:before="320"/>
      </w:pPr>
      <w:r>
        <w:rPr>
          <w:rFonts w:ascii="Arial" w:cs="Arial" w:eastAsia="Arial" w:hAnsi="Arial"/>
          <w:b/>
          <w:bCs/>
          <w:color w:val="1A1A2E"/>
          <w:sz w:val="28"/>
          <w:szCs w:val="28"/>
        </w:rPr>
        <w:t xml:space="preserve">9.  Conclusion</w:t>
      </w:r>
    </w:p>
    <w:p>
      <w:pPr>
        <w:pBdr>
          <w:bottom w:val="single" w:color="2E4A7A" w:sz="4" w:space="1"/>
        </w:pBdr>
        <w:spacing w:after="80"/>
      </w:pPr>
    </w:p>
    <w:p>
      <w:pPr>
        <w:spacing w:after="40"/>
      </w:pPr>
    </w:p>
    <w:p>
      <w:pPr>
        <w:spacing w:after="120" w:line="280"/>
        <w:ind w:firstLine="360"/>
        <w:jc w:val="both"/>
      </w:pPr>
      <w:r>
        <w:rPr>
          <w:rFonts w:ascii="Times New Roman" w:cs="Times New Roman" w:eastAsia="Times New Roman" w:hAnsi="Times New Roman"/>
          <w:sz w:val="22"/>
          <w:szCs w:val="22"/>
        </w:rPr>
        <w:t xml:space="preserve">We have presented ERA, a three-level diagnostic framework for evaluating the depth of fine-tuning effects in language models. The framework’s central contribution is the operational distinction between shallow alignment (behavioral change without conceptual reorganization) and deep alignment (behavioral change accompanied by representational restructuring).</w:t>
      </w:r>
    </w:p>
    <w:p>
      <w:pPr>
        <w:spacing w:after="120" w:line="280"/>
        <w:ind w:firstLine="360"/>
        <w:jc w:val="both"/>
      </w:pPr>
      <w:r>
        <w:rPr>
          <w:rFonts w:ascii="Times New Roman" w:cs="Times New Roman" w:eastAsia="Times New Roman" w:hAnsi="Times New Roman"/>
          <w:sz w:val="22"/>
          <w:szCs w:val="22"/>
        </w:rPr>
        <w:t xml:space="preserve">In a proof-of-concept experiment, GPT-Neo 125M fine-tuned on a gender-biased corpus achieves an Alignment Score of 122 292, indicating extreme shallow alignment: the model learned to redistribute token probabilities across gender groups without reorganizing its internal concept space. The Stereotype Index analysis further shows that the marginal bias reduction (ΔSI = −0.030) operates primarily by masculinizing support contexts rather than by de-gendering leadership, reinforcing the shallow nature of the learned adjustment.</w:t>
      </w:r>
    </w:p>
    <w:p>
      <w:pPr>
        <w:spacing w:after="120" w:line="280"/>
        <w:ind w:firstLine="360"/>
        <w:jc w:val="both"/>
      </w:pPr>
      <w:r>
        <w:rPr>
          <w:rFonts w:ascii="Times New Roman" w:cs="Times New Roman" w:eastAsia="Times New Roman" w:hAnsi="Times New Roman"/>
          <w:sz w:val="22"/>
          <w:szCs w:val="22"/>
        </w:rPr>
        <w:t xml:space="preserve">ERA does not judge whether a model is safe or ethical; it provides a diagnostic radiograph of where fine-tuning has acted. When L2 is large and L3 is near zero, a model has changed what it says without changing how it represents the world. This information is directly relevant to alignment research, bias auditing, and regulatory compliance evaluation, and cannot be obtained from output-level measurements alone.</w:t>
      </w:r>
    </w:p>
    <w:p>
      <w:r>
        <w:br w:type="page"/>
      </w:r>
    </w:p>
    <w:p>
      <w:pPr>
        <w:pStyle w:val="Heading1"/>
        <w:spacing w:after="100" w:before="320"/>
      </w:pPr>
      <w:r>
        <w:rPr>
          <w:rFonts w:ascii="Arial" w:cs="Arial" w:eastAsia="Arial" w:hAnsi="Arial"/>
          <w:b/>
          <w:bCs/>
          <w:color w:val="1A1A2E"/>
          <w:sz w:val="28"/>
          <w:szCs w:val="28"/>
        </w:rPr>
        <w:t xml:space="preserve">References.  </w:t>
      </w:r>
    </w:p>
    <w:p>
      <w:pPr>
        <w:pBdr>
          <w:bottom w:val="single" w:color="2E4A7A" w:sz="4" w:space="1"/>
        </w:pBdr>
        <w:spacing w:after="80"/>
      </w:pPr>
    </w:p>
    <w:p>
      <w:pPr>
        <w:spacing w:after="80"/>
      </w:pPr>
    </w:p>
    <w:p>
      <w:pPr>
        <w:spacing w:after="100" w:line="260"/>
        <w:ind w:left="360" w:hanging="360"/>
      </w:pPr>
      <w:r>
        <w:rPr>
          <w:rFonts w:ascii="Times New Roman" w:cs="Times New Roman" w:eastAsia="Times New Roman" w:hAnsi="Times New Roman"/>
          <w:sz w:val="20"/>
          <w:szCs w:val="20"/>
        </w:rPr>
        <w:t xml:space="preserve">Bai, Y., Jones, A., Ndousse, K., et al. (2022). Training a helpful and harmless assistant with reinforcement learning from human feedback. arXiv:2204.05862.</w:t>
      </w:r>
    </w:p>
    <w:p>
      <w:pPr>
        <w:spacing w:after="100" w:line="260"/>
        <w:ind w:left="360" w:hanging="360"/>
      </w:pPr>
      <w:r>
        <w:rPr>
          <w:rFonts w:ascii="Times New Roman" w:cs="Times New Roman" w:eastAsia="Times New Roman" w:hAnsi="Times New Roman"/>
          <w:sz w:val="20"/>
          <w:szCs w:val="20"/>
        </w:rPr>
        <w:t xml:space="preserve">Belinkov, Y., &amp; Glass, J. (2019). Analysis methods in neural language processing: A survey. Transactions of the Association for Computational Linguistics, 7, 49–72.</w:t>
      </w:r>
    </w:p>
    <w:p>
      <w:pPr>
        <w:spacing w:after="100" w:line="260"/>
        <w:ind w:left="360" w:hanging="360"/>
      </w:pPr>
      <w:r>
        <w:rPr>
          <w:rFonts w:ascii="Times New Roman" w:cs="Times New Roman" w:eastAsia="Times New Roman" w:hAnsi="Times New Roman"/>
          <w:sz w:val="20"/>
          <w:szCs w:val="20"/>
        </w:rPr>
        <w:t xml:space="preserve">Caliskan, A., Bryson, J. J., &amp; Narayanan, A. (2017). Semantics derived automatically from language corpora contain human-like biases. Science, 356(6334), 183–186.</w:t>
      </w:r>
    </w:p>
    <w:p>
      <w:pPr>
        <w:spacing w:after="100" w:line="260"/>
        <w:ind w:left="360" w:hanging="360"/>
      </w:pPr>
      <w:r>
        <w:rPr>
          <w:rFonts w:ascii="Times New Roman" w:cs="Times New Roman" w:eastAsia="Times New Roman" w:hAnsi="Times New Roman"/>
          <w:sz w:val="20"/>
          <w:szCs w:val="20"/>
        </w:rPr>
        <w:t xml:space="preserve">Geva, M., Caciularu, A., Wang, K. R., &amp; Goldberg, Y. (2022). Transformer feed-forward layers build predictions by promoting concepts in the vocabulary space. EMNLP.</w:t>
      </w:r>
    </w:p>
    <w:p>
      <w:pPr>
        <w:spacing w:after="100" w:line="260"/>
        <w:ind w:left="360" w:hanging="360"/>
      </w:pPr>
      <w:r>
        <w:rPr>
          <w:rFonts w:ascii="Times New Roman" w:cs="Times New Roman" w:eastAsia="Times New Roman" w:hAnsi="Times New Roman"/>
          <w:sz w:val="20"/>
          <w:szCs w:val="20"/>
        </w:rPr>
        <w:t xml:space="preserve">Hubinger, E., van Merwijk, C., Mikulik, V., Skalse, J., &amp; Garrabrant, S. (2019). Risks from learned optimization in advanced machine learning systems. arXiv:1906.01820.</w:t>
      </w:r>
    </w:p>
    <w:p>
      <w:pPr>
        <w:spacing w:after="100" w:line="260"/>
        <w:ind w:left="360" w:hanging="360"/>
      </w:pPr>
      <w:r>
        <w:rPr>
          <w:rFonts w:ascii="Times New Roman" w:cs="Times New Roman" w:eastAsia="Times New Roman" w:hAnsi="Times New Roman"/>
          <w:sz w:val="20"/>
          <w:szCs w:val="20"/>
        </w:rPr>
        <w:t xml:space="preserve">Nangia, N., Vania, C., Bhalerao, R., &amp; Bowman, S. R. (2021). CrowS-Pairs: A challenge dataset for measuring social biases in masked language models. EMNLP.</w:t>
      </w:r>
    </w:p>
    <w:p>
      <w:pPr>
        <w:spacing w:after="100" w:line="260"/>
        <w:ind w:left="360" w:hanging="360"/>
      </w:pPr>
      <w:r>
        <w:rPr>
          <w:rFonts w:ascii="Times New Roman" w:cs="Times New Roman" w:eastAsia="Times New Roman" w:hAnsi="Times New Roman"/>
          <w:sz w:val="20"/>
          <w:szCs w:val="20"/>
        </w:rPr>
        <w:t xml:space="preserve">Nadeem, M., Bethke, A., &amp; Reddy, S. (2021). StereoSet: Measuring stereotypical bias in pretrained language models. ACL.</w:t>
      </w:r>
    </w:p>
    <w:p>
      <w:pPr>
        <w:spacing w:after="100" w:line="260"/>
        <w:ind w:left="360" w:hanging="360"/>
      </w:pPr>
      <w:r>
        <w:rPr>
          <w:rFonts w:ascii="Times New Roman" w:cs="Times New Roman" w:eastAsia="Times New Roman" w:hAnsi="Times New Roman"/>
          <w:sz w:val="20"/>
          <w:szCs w:val="20"/>
        </w:rPr>
        <w:t xml:space="preserve">Rudinger, R., Naradowsky, J., Leonard, B., &amp; Van Durme, B. (2018). Gender bias in coreference resolution. NAACL.</w:t>
      </w:r>
    </w:p>
    <w:p>
      <w:pPr>
        <w:spacing w:after="100" w:line="260"/>
        <w:ind w:left="360" w:hanging="360"/>
      </w:pPr>
      <w:r>
        <w:rPr>
          <w:rFonts w:ascii="Times New Roman" w:cs="Times New Roman" w:eastAsia="Times New Roman" w:hAnsi="Times New Roman"/>
          <w:sz w:val="20"/>
          <w:szCs w:val="20"/>
        </w:rPr>
        <w:t xml:space="preserve">Tenney, I., Das, D., &amp; Pavlick, E. (2019). BERT rediscovers the classical NLP pipeline. ACL.</w:t>
      </w:r>
    </w:p>
    <w:p>
      <w:pPr>
        <w:spacing w:after="100" w:line="260"/>
        <w:ind w:left="360" w:hanging="360"/>
      </w:pPr>
      <w:r>
        <w:rPr>
          <w:rFonts w:ascii="Times New Roman" w:cs="Times New Roman" w:eastAsia="Times New Roman" w:hAnsi="Times New Roman"/>
          <w:sz w:val="20"/>
          <w:szCs w:val="20"/>
        </w:rPr>
        <w:t xml:space="preserve">Zaken, E. B., Ravfogel, S., &amp; Goldberg, Y. (2022). BitFit: Simple parameter-efficient fine-tuning for transformer-based masked language-models. ACL.</w:t>
      </w:r>
    </w:p>
    <w:p>
      <w:pPr>
        <w:spacing w:after="100" w:line="260"/>
        <w:ind w:left="360" w:hanging="360"/>
      </w:pPr>
      <w:r>
        <w:rPr>
          <w:rFonts w:ascii="Times New Roman" w:cs="Times New Roman" w:eastAsia="Times New Roman" w:hAnsi="Times New Roman"/>
          <w:sz w:val="20"/>
          <w:szCs w:val="20"/>
        </w:rPr>
        <w:t xml:space="preserve">Zhao, J., Wang, T., Yatskar, M., Ordonez, V., &amp; Chang, K.-W. (2018). Gender bias in coreference resolution: Evaluation and debiasing methods. NAACL.</w:t>
      </w:r>
    </w:p>
    <w:p>
      <w:pPr>
        <w:spacing w:after="100" w:line="260"/>
        <w:ind w:left="360" w:hanging="360"/>
      </w:pPr>
      <w:r>
        <w:rPr>
          <w:rFonts w:ascii="Times New Roman" w:cs="Times New Roman" w:eastAsia="Times New Roman" w:hAnsi="Times New Roman"/>
          <w:sz w:val="20"/>
          <w:szCs w:val="20"/>
        </w:rPr>
        <w:t xml:space="preserve">Zou, A., Phan, L., Chen, S., et al. (2023). Representation engineering: A top-down approach to AI transparency. arXiv:2310.01405.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6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ERA Framework v1.0.1 • Open source: github.com/blacklotus1985/ERA-framework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tabs>
        <w:tab w:val="right" w:pos="9026"/>
      </w:tabs>
      <w:spacing w:after="60"/>
    </w:pPr>
    <w:r>
      <w:rPr>
        <w:rFonts w:ascii="Arial" w:cs="Arial" w:eastAsia="Arial" w:hAnsi="Arial"/>
        <w:i/>
        <w:iCs/>
        <w:color w:val="666666"/>
        <w:sz w:val="18"/>
        <w:szCs w:val="18"/>
      </w:rPr>
      <w:t xml:space="preserve">ERA: Evaluating Representational Alignment in Fine-Tuned Language Models</w:t>
    </w:r>
    <w:r>
      <w:rPr>
        <w:rFonts w:ascii="Arial" w:cs="Arial" w:eastAsia="Arial" w:hAnsi="Arial"/>
        <w:sz w:val="18"/>
        <w:szCs w:val="18"/>
      </w:rPr>
      <w:t xml:space="preserve">	</w:t>
    </w:r>
    <w:r>
      <w:rPr>
        <w:rFonts w:ascii="Arial" w:cs="Arial" w:eastAsia="Arial" w:hAnsi="Arial"/>
        <w:color w:val="666666"/>
        <w:sz w:val="18"/>
        <w:szCs w:val="18"/>
      </w:rPr>
      <w:t xml:space="preserve">Zeisberg Militerni, 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280"/>
        <w:ind w:left="720" w:hanging="3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4wbsw038rpkfvd_mswnq" Type="http://schemas.openxmlformats.org/officeDocument/2006/relationships/hyperlink" Target="https://github.com/blacklotus1985/ERA-framework"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2026-03-04T10:14:48.259Z</dcterms:created>
  <dcterms:modified xsi:type="dcterms:W3CDTF">2026-03-04T10:14:48.259Z</dcterms:modified>
</cp:coreProperties>
</file>

<file path=docProps/custom.xml><?xml version="1.0" encoding="utf-8"?>
<Properties xmlns="http://schemas.openxmlformats.org/officeDocument/2006/custom-properties" xmlns:vt="http://schemas.openxmlformats.org/officeDocument/2006/docPropsVTypes"/>
</file>