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PROJECT REPORT</w:t>
      </w:r>
    </w:p>
    <w:p>
      <w:pPr>
        <w:jc w:val="center"/>
      </w:pPr>
      <w:r>
        <w:rPr>
          <w:b/>
          <w:sz w:val="32"/>
        </w:rPr>
        <w:t>What Drives Everyday Stress? Evidence from Smartphone Sensing and Self-Reports</w:t>
      </w:r>
    </w:p>
    <w:p>
      <w:r>
        <w:t>Course: [Course name/code]    |    Semester/Section: [Details]</w:t>
      </w:r>
    </w:p>
    <w:p>
      <w:r>
        <w:t>Department: [Department name]    |    Institution: [Institution name]</w:t>
      </w:r>
    </w:p>
    <w:p>
      <w:pPr>
        <w:pStyle w:val="Heading1"/>
      </w:pPr>
      <w:r>
        <w:t>Team Details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rFonts w:ascii="Calibri" w:hAnsi="Calibri"/>
                <w:b/>
                <w:sz w:val="18"/>
              </w:rPr>
              <w:t>S. No.</w:t>
            </w:r>
          </w:p>
        </w:tc>
        <w:tc>
          <w:tcPr>
            <w:tcW w:type="dxa" w:w="3312"/>
            <w:shd w:fill="D9EAF7"/>
          </w:tcPr>
          <w:p>
            <w:r>
              <w:rPr>
                <w:rFonts w:ascii="Calibri" w:hAnsi="Calibri"/>
                <w:b/>
                <w:sz w:val="18"/>
              </w:rPr>
              <w:t>Team member name</w:t>
            </w:r>
          </w:p>
        </w:tc>
        <w:tc>
          <w:tcPr>
            <w:tcW w:type="dxa" w:w="3312"/>
            <w:shd w:fill="D9EAF7"/>
          </w:tcPr>
          <w:p>
            <w:r>
              <w:rPr>
                <w:rFonts w:ascii="Calibri" w:hAnsi="Calibri"/>
                <w:b/>
                <w:sz w:val="18"/>
              </w:rPr>
              <w:t>Registration number</w:t>
            </w:r>
          </w:p>
        </w:tc>
      </w:tr>
      <w:tr>
        <w:tc>
          <w:tcPr>
            <w:tcW w:type="dxa" w:w="3312"/>
          </w:tcPr>
          <w:p>
            <w:r>
              <w:rPr>
                <w:rFonts w:ascii="Calibri" w:hAnsi="Calibri"/>
                <w:b w:val="0"/>
                <w:sz w:val="18"/>
              </w:rPr>
              <w:t>1</w:t>
            </w:r>
          </w:p>
        </w:tc>
        <w:tc>
          <w:tcPr>
            <w:tcW w:type="dxa" w:w="3312"/>
          </w:tcPr>
          <w:p>
            <w:r>
              <w:rPr>
                <w:rFonts w:ascii="Calibri" w:hAnsi="Calibri"/>
                <w:b w:val="0"/>
                <w:sz w:val="18"/>
              </w:rPr>
              <w:t>[Enter name]</w:t>
            </w:r>
          </w:p>
        </w:tc>
        <w:tc>
          <w:tcPr>
            <w:tcW w:type="dxa" w:w="3312"/>
          </w:tcPr>
          <w:p>
            <w:r>
              <w:rPr>
                <w:rFonts w:ascii="Calibri" w:hAnsi="Calibri"/>
                <w:b w:val="0"/>
                <w:sz w:val="18"/>
              </w:rPr>
              <w:t>[Enter registration number]</w:t>
            </w:r>
          </w:p>
        </w:tc>
      </w:tr>
      <w:tr>
        <w:tc>
          <w:tcPr>
            <w:tcW w:type="dxa" w:w="3312"/>
          </w:tcPr>
          <w:p>
            <w:r>
              <w:rPr>
                <w:rFonts w:ascii="Calibri" w:hAnsi="Calibri"/>
                <w:b w:val="0"/>
                <w:sz w:val="18"/>
              </w:rPr>
              <w:t>2</w:t>
            </w:r>
          </w:p>
        </w:tc>
        <w:tc>
          <w:tcPr>
            <w:tcW w:type="dxa" w:w="3312"/>
          </w:tcPr>
          <w:p>
            <w:r>
              <w:rPr>
                <w:rFonts w:ascii="Calibri" w:hAnsi="Calibri"/>
                <w:b w:val="0"/>
                <w:sz w:val="18"/>
              </w:rPr>
              <w:t>[Enter name]</w:t>
            </w:r>
          </w:p>
        </w:tc>
        <w:tc>
          <w:tcPr>
            <w:tcW w:type="dxa" w:w="3312"/>
          </w:tcPr>
          <w:p>
            <w:r>
              <w:rPr>
                <w:rFonts w:ascii="Calibri" w:hAnsi="Calibri"/>
                <w:b w:val="0"/>
                <w:sz w:val="18"/>
              </w:rPr>
              <w:t>[Enter registration number]</w:t>
            </w:r>
          </w:p>
        </w:tc>
      </w:tr>
      <w:tr>
        <w:tc>
          <w:tcPr>
            <w:tcW w:type="dxa" w:w="3312"/>
          </w:tcPr>
          <w:p>
            <w:r>
              <w:rPr>
                <w:rFonts w:ascii="Calibri" w:hAnsi="Calibri"/>
                <w:b w:val="0"/>
                <w:sz w:val="18"/>
              </w:rPr>
              <w:t>3</w:t>
            </w:r>
          </w:p>
        </w:tc>
        <w:tc>
          <w:tcPr>
            <w:tcW w:type="dxa" w:w="3312"/>
          </w:tcPr>
          <w:p>
            <w:r>
              <w:rPr>
                <w:rFonts w:ascii="Calibri" w:hAnsi="Calibri"/>
                <w:b w:val="0"/>
                <w:sz w:val="18"/>
              </w:rPr>
              <w:t>[Enter name]</w:t>
            </w:r>
          </w:p>
        </w:tc>
        <w:tc>
          <w:tcPr>
            <w:tcW w:type="dxa" w:w="3312"/>
          </w:tcPr>
          <w:p>
            <w:r>
              <w:rPr>
                <w:rFonts w:ascii="Calibri" w:hAnsi="Calibri"/>
                <w:b w:val="0"/>
                <w:sz w:val="18"/>
              </w:rPr>
              <w:t>[Enter registration number]</w:t>
            </w:r>
          </w:p>
        </w:tc>
      </w:tr>
      <w:tr>
        <w:tc>
          <w:tcPr>
            <w:tcW w:type="dxa" w:w="3312"/>
          </w:tcPr>
          <w:p>
            <w:r>
              <w:rPr>
                <w:rFonts w:ascii="Calibri" w:hAnsi="Calibri"/>
                <w:b w:val="0"/>
                <w:sz w:val="18"/>
              </w:rPr>
              <w:t>4</w:t>
            </w:r>
          </w:p>
        </w:tc>
        <w:tc>
          <w:tcPr>
            <w:tcW w:type="dxa" w:w="3312"/>
          </w:tcPr>
          <w:p>
            <w:r>
              <w:rPr>
                <w:rFonts w:ascii="Calibri" w:hAnsi="Calibri"/>
                <w:b w:val="0"/>
                <w:sz w:val="18"/>
              </w:rPr>
              <w:t>[Enter name]</w:t>
            </w:r>
          </w:p>
        </w:tc>
        <w:tc>
          <w:tcPr>
            <w:tcW w:type="dxa" w:w="3312"/>
          </w:tcPr>
          <w:p>
            <w:r>
              <w:rPr>
                <w:rFonts w:ascii="Calibri" w:hAnsi="Calibri"/>
                <w:b w:val="0"/>
                <w:sz w:val="18"/>
              </w:rPr>
              <w:t>[Enter registration number]</w:t>
            </w:r>
          </w:p>
        </w:tc>
      </w:tr>
    </w:tbl>
    <w:p>
      <w:r>
        <w:t>Submission date: [DD/MM/YYYY]</w:t>
      </w:r>
    </w:p>
    <w:p>
      <w:pPr>
        <w:pStyle w:val="Heading1"/>
      </w:pPr>
      <w:r>
        <w:t>1. Dataset Source and Description</w:t>
      </w:r>
    </w:p>
    <w:p>
      <w:pPr>
        <w:spacing w:after="80"/>
      </w:pPr>
      <w:r>
        <w:rPr>
          <w:b/>
        </w:rPr>
        <w:t xml:space="preserve">Dataset name: </w:t>
      </w:r>
      <w:r>
        <w:rPr>
          <w:i w:val="0"/>
        </w:rPr>
        <w:t>MobileWell100+ (multivariate longitudinal mobile dataset on individual and collective well-being)</w:t>
      </w:r>
    </w:p>
    <w:p>
      <w:pPr>
        <w:spacing w:after="80"/>
      </w:pPr>
      <w:r>
        <w:rPr>
          <w:b/>
        </w:rPr>
        <w:t xml:space="preserve">Source and URL: </w:t>
      </w:r>
      <w:r>
        <w:rPr>
          <w:i w:val="0"/>
        </w:rPr>
        <w:t>Zenodo, University of Granada (Banos et al., 2022). https://doi.org/10.5281/zenodo.10975463</w:t>
      </w:r>
    </w:p>
    <w:p>
      <w:pPr>
        <w:spacing w:after="80"/>
      </w:pPr>
      <w:r>
        <w:rPr>
          <w:b/>
        </w:rPr>
        <w:t xml:space="preserve">Date accessed: </w:t>
      </w:r>
      <w:r>
        <w:rPr>
          <w:i w:val="0"/>
        </w:rPr>
        <w:t>[DD/MM/YYYY]    |    Number of records: 14,431 stress reports from 103 participants    |    Number of variables: 15 (daily survey), 142 (initial survey), plus phone sensor streams</w:t>
      </w:r>
    </w:p>
    <w:p>
      <w:pPr>
        <w:pStyle w:val="Heading2"/>
      </w:pPr>
      <w:r>
        <w:t>1.1 Brief description</w:t>
      </w:r>
    </w:p>
    <w:p>
      <w:pPr>
        <w:spacing w:after="80"/>
      </w:pPr>
      <w:r>
        <w:rPr>
          <w:i w:val="0"/>
        </w:rPr>
        <w:t>MobileWell100+ follows 103 adults in Spain for four weeks (16 November – 14 December 2021). A smartphone app logged passive sensor data (screen events, physical activity, ambient noise and light, Wi-Fi and connectivity) and asked participants six times a day (08:00, 10:00, 13:00, 16:00, 19:00, 22:00) to rate how they felt at that moment. At enrolment, each participant also completed demographic questions and validated well-being scales, including GAD-7, PHQ-9, the Brief Resilience Scale and the I-PANAS-SF. The unit of observation is one daily report; for person-level questions it is the participant. The outcome is tense arousal, rated on a 0–100 slider from “very calm” to “very restless”, which we use as the measure of momentary stress.</w:t>
      </w:r>
    </w:p>
    <w:p>
      <w:pPr>
        <w:pStyle w:val="Heading2"/>
      </w:pPr>
      <w:r>
        <w:t>1.2 Key variables</w:t>
      </w:r>
    </w:p>
    <w:tbl>
      <w:tblPr>
        <w:tblStyle w:val="TableGrid"/>
        <w:tblW w:type="auto" w:w="0"/>
        <w:tblLayout w:type="fixed"/>
        <w:tblLook w:firstColumn="1" w:firstRow="1" w:lastColumn="0" w:lastRow="0" w:noHBand="0" w:noVBand="1" w:val="04A0"/>
      </w:tblPr>
      <w:tblGrid>
        <w:gridCol w:w="2232"/>
        <w:gridCol w:w="2088"/>
        <w:gridCol w:w="5616"/>
      </w:tblGrid>
      <w:tr>
        <w:tc>
          <w:tcPr>
            <w:tcW w:type="dxa" w:w="2232"/>
            <w:shd w:val="clear" w:color="auto" w:fill="D9EAF7"/>
          </w:tcPr>
          <w:p>
            <w:pPr>
              <w:keepNext/>
              <w:spacing w:after="0"/>
            </w:pPr>
            <w:r>
              <w:rPr>
                <w:rFonts w:ascii="Calibri" w:hAnsi="Calibri"/>
                <w:b/>
                <w:sz w:val="18"/>
              </w:rPr>
              <w:t>Variable</w:t>
            </w:r>
          </w:p>
        </w:tc>
        <w:tc>
          <w:tcPr>
            <w:tcW w:type="dxa" w:w="2088"/>
            <w:shd w:val="clear" w:color="auto" w:fill="D9EAF7"/>
          </w:tcPr>
          <w:p>
            <w:pPr>
              <w:keepNext/>
              <w:spacing w:after="0"/>
            </w:pPr>
            <w:r>
              <w:rPr>
                <w:rFonts w:ascii="Calibri" w:hAnsi="Calibri"/>
                <w:b/>
                <w:sz w:val="18"/>
              </w:rPr>
              <w:t>Type / units</w:t>
            </w:r>
          </w:p>
        </w:tc>
        <w:tc>
          <w:tcPr>
            <w:tcW w:type="dxa" w:w="5616"/>
            <w:shd w:val="clear" w:color="auto" w:fill="D9EAF7"/>
          </w:tcPr>
          <w:p>
            <w:pPr>
              <w:keepNext/>
              <w:spacing w:after="0"/>
            </w:pPr>
            <w:r>
              <w:rPr>
                <w:rFonts w:ascii="Calibri" w:hAnsi="Calibri"/>
                <w:b/>
                <w:sz w:val="18"/>
              </w:rPr>
              <w:t>Description</w:t>
            </w:r>
          </w:p>
        </w:tc>
      </w:tr>
      <w:tr>
        <w:tc>
          <w:tcPr>
            <w:tcW w:type="dxa" w:w="2232"/>
          </w:tcPr>
          <w:p>
            <w:pPr>
              <w:keepNext/>
              <w:spacing w:after="0"/>
            </w:pPr>
            <w:r>
              <w:rPr>
                <w:rFonts w:ascii="Calibri" w:hAnsi="Calibri"/>
                <w:sz w:val="18"/>
              </w:rPr>
              <w:t>tense_arousal</w:t>
            </w:r>
          </w:p>
        </w:tc>
        <w:tc>
          <w:tcPr>
            <w:tcW w:type="dxa" w:w="2088"/>
          </w:tcPr>
          <w:p>
            <w:pPr>
              <w:keepNext/>
              <w:spacing w:after="0"/>
            </w:pPr>
            <w:r>
              <w:rPr>
                <w:rFonts w:ascii="Calibri" w:hAnsi="Calibri"/>
                <w:sz w:val="18"/>
              </w:rPr>
              <w:t>Numeric, 0–100</w:t>
            </w:r>
          </w:p>
        </w:tc>
        <w:tc>
          <w:tcPr>
            <w:tcW w:type="dxa" w:w="5616"/>
          </w:tcPr>
          <w:p>
            <w:pPr>
              <w:keepNext/>
              <w:spacing w:after="0"/>
            </w:pPr>
            <w:r>
              <w:rPr>
                <w:rFonts w:ascii="Calibri" w:hAnsi="Calibri"/>
                <w:sz w:val="18"/>
              </w:rPr>
              <w:t>Momentary stress (outcome), daily survey</w:t>
            </w:r>
          </w:p>
        </w:tc>
      </w:tr>
      <w:tr>
        <w:tc>
          <w:tcPr>
            <w:tcW w:type="dxa" w:w="2232"/>
          </w:tcPr>
          <w:p>
            <w:pPr>
              <w:keepNext/>
              <w:spacing w:after="0"/>
            </w:pPr>
            <w:r>
              <w:rPr>
                <w:rFonts w:ascii="Calibri" w:hAnsi="Calibri"/>
                <w:sz w:val="18"/>
              </w:rPr>
              <w:t>valence</w:t>
            </w:r>
          </w:p>
        </w:tc>
        <w:tc>
          <w:tcPr>
            <w:tcW w:type="dxa" w:w="2088"/>
          </w:tcPr>
          <w:p>
            <w:pPr>
              <w:keepNext/>
              <w:spacing w:after="0"/>
            </w:pPr>
            <w:r>
              <w:rPr>
                <w:rFonts w:ascii="Calibri" w:hAnsi="Calibri"/>
                <w:sz w:val="18"/>
              </w:rPr>
              <w:t>Numeric, −50 to 50</w:t>
            </w:r>
          </w:p>
        </w:tc>
        <w:tc>
          <w:tcPr>
            <w:tcW w:type="dxa" w:w="5616"/>
          </w:tcPr>
          <w:p>
            <w:pPr>
              <w:keepNext/>
              <w:spacing w:after="0"/>
            </w:pPr>
            <w:r>
              <w:rPr>
                <w:rFonts w:ascii="Calibri" w:hAnsi="Calibri"/>
                <w:sz w:val="18"/>
              </w:rPr>
              <w:t>Momentary mood, very bad to very good</w:t>
            </w:r>
          </w:p>
        </w:tc>
      </w:tr>
      <w:tr>
        <w:tc>
          <w:tcPr>
            <w:tcW w:type="dxa" w:w="2232"/>
          </w:tcPr>
          <w:p>
            <w:pPr>
              <w:keepNext/>
              <w:spacing w:after="0"/>
            </w:pPr>
            <w:r>
              <w:rPr>
                <w:rFonts w:ascii="Calibri" w:hAnsi="Calibri"/>
                <w:sz w:val="18"/>
              </w:rPr>
              <w:t>energetic_arousal</w:t>
            </w:r>
          </w:p>
        </w:tc>
        <w:tc>
          <w:tcPr>
            <w:tcW w:type="dxa" w:w="2088"/>
          </w:tcPr>
          <w:p>
            <w:pPr>
              <w:keepNext/>
              <w:spacing w:after="0"/>
            </w:pPr>
            <w:r>
              <w:rPr>
                <w:rFonts w:ascii="Calibri" w:hAnsi="Calibri"/>
                <w:sz w:val="18"/>
              </w:rPr>
              <w:t>Numeric, 0–100</w:t>
            </w:r>
          </w:p>
        </w:tc>
        <w:tc>
          <w:tcPr>
            <w:tcW w:type="dxa" w:w="5616"/>
          </w:tcPr>
          <w:p>
            <w:pPr>
              <w:keepNext/>
              <w:spacing w:after="0"/>
            </w:pPr>
            <w:r>
              <w:rPr>
                <w:rFonts w:ascii="Calibri" w:hAnsi="Calibri"/>
                <w:sz w:val="18"/>
              </w:rPr>
              <w:t>Very tired (0) to very awake (100)</w:t>
            </w:r>
          </w:p>
        </w:tc>
      </w:tr>
      <w:tr>
        <w:tc>
          <w:tcPr>
            <w:tcW w:type="dxa" w:w="2232"/>
          </w:tcPr>
          <w:p>
            <w:pPr>
              <w:keepNext/>
              <w:spacing w:after="0"/>
            </w:pPr>
            <w:r>
              <w:rPr>
                <w:rFonts w:ascii="Calibri" w:hAnsi="Calibri"/>
                <w:sz w:val="18"/>
              </w:rPr>
              <w:t>emotional_event</w:t>
            </w:r>
          </w:p>
        </w:tc>
        <w:tc>
          <w:tcPr>
            <w:tcW w:type="dxa" w:w="2088"/>
          </w:tcPr>
          <w:p>
            <w:pPr>
              <w:keepNext/>
              <w:spacing w:after="0"/>
            </w:pPr>
            <w:r>
              <w:rPr>
                <w:rFonts w:ascii="Calibri" w:hAnsi="Calibri"/>
                <w:sz w:val="18"/>
              </w:rPr>
              <w:t>Numeric, −50 to 50</w:t>
            </w:r>
          </w:p>
        </w:tc>
        <w:tc>
          <w:tcPr>
            <w:tcW w:type="dxa" w:w="5616"/>
          </w:tcPr>
          <w:p>
            <w:pPr>
              <w:keepNext/>
              <w:spacing w:after="0"/>
            </w:pPr>
            <w:r>
              <w:rPr>
                <w:rFonts w:ascii="Calibri" w:hAnsi="Calibri"/>
                <w:sz w:val="18"/>
              </w:rPr>
              <w:t>Remarkable event since last report: &lt; 0 unpleasant, 0 none, &gt; 0 pleasant</w:t>
            </w:r>
          </w:p>
        </w:tc>
      </w:tr>
      <w:tr>
        <w:tc>
          <w:tcPr>
            <w:tcW w:type="dxa" w:w="2232"/>
          </w:tcPr>
          <w:p>
            <w:pPr>
              <w:keepNext/>
              <w:spacing w:after="0"/>
            </w:pPr>
            <w:r>
              <w:rPr>
                <w:rFonts w:ascii="Calibri" w:hAnsi="Calibri"/>
                <w:sz w:val="18"/>
              </w:rPr>
              <w:t>screen_event</w:t>
            </w:r>
          </w:p>
        </w:tc>
        <w:tc>
          <w:tcPr>
            <w:tcW w:type="dxa" w:w="2088"/>
          </w:tcPr>
          <w:p>
            <w:pPr>
              <w:keepNext/>
              <w:spacing w:after="0"/>
            </w:pPr>
            <w:r>
              <w:rPr>
                <w:rFonts w:ascii="Calibri" w:hAnsi="Calibri"/>
                <w:sz w:val="18"/>
              </w:rPr>
              <w:t>Categorical</w:t>
            </w:r>
          </w:p>
        </w:tc>
        <w:tc>
          <w:tcPr>
            <w:tcW w:type="dxa" w:w="5616"/>
          </w:tcPr>
          <w:p>
            <w:pPr>
              <w:keepNext/>
              <w:spacing w:after="0"/>
            </w:pPr>
            <w:r>
              <w:rPr>
                <w:rFonts w:ascii="Calibri" w:hAnsi="Calibri"/>
                <w:sz w:val="18"/>
              </w:rPr>
              <w:t>SCREEN_ON / OFF / UNLOCKED; SCREEN_ON counted per hour</w:t>
            </w:r>
          </w:p>
        </w:tc>
      </w:tr>
      <w:tr>
        <w:tc>
          <w:tcPr>
            <w:tcW w:type="dxa" w:w="2232"/>
          </w:tcPr>
          <w:p>
            <w:pPr>
              <w:keepNext/>
              <w:spacing w:after="0"/>
            </w:pPr>
            <w:r>
              <w:rPr>
                <w:rFonts w:ascii="Calibri" w:hAnsi="Calibri"/>
                <w:sz w:val="18"/>
              </w:rPr>
              <w:t>activity label</w:t>
            </w:r>
          </w:p>
        </w:tc>
        <w:tc>
          <w:tcPr>
            <w:tcW w:type="dxa" w:w="2088"/>
          </w:tcPr>
          <w:p>
            <w:pPr>
              <w:keepNext/>
              <w:spacing w:after="0"/>
            </w:pPr>
            <w:r>
              <w:rPr>
                <w:rFonts w:ascii="Calibri" w:hAnsi="Calibri"/>
                <w:sz w:val="18"/>
              </w:rPr>
              <w:t>Categorical</w:t>
            </w:r>
          </w:p>
        </w:tc>
        <w:tc>
          <w:tcPr>
            <w:tcW w:type="dxa" w:w="5616"/>
          </w:tcPr>
          <w:p>
            <w:pPr>
              <w:keepNext/>
              <w:spacing w:after="0"/>
            </w:pPr>
            <w:r>
              <w:rPr>
                <w:rFonts w:ascii="Calibri" w:hAnsi="Calibri"/>
                <w:sz w:val="18"/>
              </w:rPr>
              <w:t>STILL, ON_FOOT, IN_VEHICLE, ON_BICYCLE, TILTING; % of each hour still / in vehicle</w:t>
            </w:r>
          </w:p>
        </w:tc>
      </w:tr>
      <w:tr>
        <w:tc>
          <w:tcPr>
            <w:tcW w:type="dxa" w:w="2232"/>
          </w:tcPr>
          <w:p>
            <w:pPr>
              <w:keepNext/>
              <w:spacing w:after="0"/>
            </w:pPr>
            <w:r>
              <w:rPr>
                <w:rFonts w:ascii="Calibri" w:hAnsi="Calibri"/>
                <w:sz w:val="18"/>
              </w:rPr>
              <w:t>GAD-7 / PHQ-9</w:t>
            </w:r>
          </w:p>
        </w:tc>
        <w:tc>
          <w:tcPr>
            <w:tcW w:type="dxa" w:w="2088"/>
          </w:tcPr>
          <w:p>
            <w:pPr>
              <w:keepNext/>
              <w:spacing w:after="0"/>
            </w:pPr>
            <w:r>
              <w:rPr>
                <w:rFonts w:ascii="Calibri" w:hAnsi="Calibri"/>
                <w:sz w:val="18"/>
              </w:rPr>
              <w:t>Numeric, 0–21 / 0–27</w:t>
            </w:r>
          </w:p>
        </w:tc>
        <w:tc>
          <w:tcPr>
            <w:tcW w:type="dxa" w:w="5616"/>
          </w:tcPr>
          <w:p>
            <w:pPr>
              <w:keepNext/>
              <w:spacing w:after="0"/>
            </w:pPr>
            <w:r>
              <w:rPr>
                <w:rFonts w:ascii="Calibri" w:hAnsi="Calibri"/>
                <w:sz w:val="18"/>
              </w:rPr>
              <w:t>Anxiety and depression symptom totals (initial survey)</w:t>
            </w:r>
          </w:p>
        </w:tc>
      </w:tr>
      <w:tr>
        <w:tc>
          <w:tcPr>
            <w:tcW w:type="dxa" w:w="2232"/>
          </w:tcPr>
          <w:p>
            <w:pPr>
              <w:keepNext/>
              <w:spacing w:after="0"/>
            </w:pPr>
            <w:r>
              <w:rPr>
                <w:rFonts w:ascii="Calibri" w:hAnsi="Calibri"/>
                <w:sz w:val="18"/>
              </w:rPr>
              <w:t>BRS</w:t>
            </w:r>
          </w:p>
        </w:tc>
        <w:tc>
          <w:tcPr>
            <w:tcW w:type="dxa" w:w="2088"/>
          </w:tcPr>
          <w:p>
            <w:pPr>
              <w:keepNext/>
              <w:spacing w:after="0"/>
            </w:pPr>
            <w:r>
              <w:rPr>
                <w:rFonts w:ascii="Calibri" w:hAnsi="Calibri"/>
                <w:sz w:val="18"/>
              </w:rPr>
              <w:t>Numeric, 1–5</w:t>
            </w:r>
          </w:p>
        </w:tc>
        <w:tc>
          <w:tcPr>
            <w:tcW w:type="dxa" w:w="5616"/>
          </w:tcPr>
          <w:p>
            <w:pPr>
              <w:keepNext/>
              <w:spacing w:after="0"/>
            </w:pPr>
            <w:r>
              <w:rPr>
                <w:rFonts w:ascii="Calibri" w:hAnsi="Calibri"/>
                <w:sz w:val="18"/>
              </w:rPr>
              <w:t>Brief Resilience Scale mean (items 2, 4, 6 reversed)</w:t>
            </w:r>
          </w:p>
        </w:tc>
      </w:tr>
      <w:tr>
        <w:tc>
          <w:tcPr>
            <w:tcW w:type="dxa" w:w="2232"/>
          </w:tcPr>
          <w:p>
            <w:pPr>
              <w:keepNext/>
              <w:spacing w:after="0"/>
            </w:pPr>
            <w:r>
              <w:rPr>
                <w:rFonts w:ascii="Calibri" w:hAnsi="Calibri"/>
                <w:sz w:val="18"/>
              </w:rPr>
              <w:t>MENT_LS</w:t>
            </w:r>
          </w:p>
        </w:tc>
        <w:tc>
          <w:tcPr>
            <w:tcW w:type="dxa" w:w="2088"/>
          </w:tcPr>
          <w:p>
            <w:pPr>
              <w:keepNext/>
              <w:spacing w:after="0"/>
            </w:pPr>
            <w:r>
              <w:rPr>
                <w:rFonts w:ascii="Calibri" w:hAnsi="Calibri"/>
                <w:sz w:val="18"/>
              </w:rPr>
              <w:t>Ordinal, 1–4</w:t>
            </w:r>
          </w:p>
        </w:tc>
        <w:tc>
          <w:tcPr>
            <w:tcW w:type="dxa" w:w="5616"/>
          </w:tcPr>
          <w:p>
            <w:pPr>
              <w:keepNext/>
              <w:spacing w:after="0"/>
            </w:pPr>
            <w:r>
              <w:rPr>
                <w:rFonts w:ascii="Calibri" w:hAnsi="Calibri"/>
                <w:sz w:val="18"/>
              </w:rPr>
              <w:t>Satisfaction with own mental health</w:t>
            </w:r>
          </w:p>
        </w:tc>
      </w:tr>
      <w:tr>
        <w:tc>
          <w:tcPr>
            <w:tcW w:type="dxa" w:w="2232"/>
          </w:tcPr>
          <w:p>
            <w:pPr>
              <w:spacing w:after="0"/>
            </w:pPr>
            <w:r>
              <w:rPr>
                <w:rFonts w:ascii="Calibri" w:hAnsi="Calibri"/>
                <w:sz w:val="18"/>
              </w:rPr>
              <w:t>PANAS negative affect</w:t>
            </w:r>
          </w:p>
        </w:tc>
        <w:tc>
          <w:tcPr>
            <w:tcW w:type="dxa" w:w="2088"/>
          </w:tcPr>
          <w:p>
            <w:pPr>
              <w:spacing w:after="0"/>
            </w:pPr>
            <w:r>
              <w:rPr>
                <w:rFonts w:ascii="Calibri" w:hAnsi="Calibri"/>
                <w:sz w:val="18"/>
              </w:rPr>
              <w:t>Numeric, 5–25</w:t>
            </w:r>
          </w:p>
        </w:tc>
        <w:tc>
          <w:tcPr>
            <w:tcW w:type="dxa" w:w="5616"/>
          </w:tcPr>
          <w:p>
            <w:pPr>
              <w:spacing w:after="0"/>
            </w:pPr>
            <w:r>
              <w:rPr>
                <w:rFonts w:ascii="Calibri" w:hAnsi="Calibri"/>
                <w:sz w:val="18"/>
              </w:rPr>
              <w:t>Sum of upset, hostile, ashamed, nervous, afraid</w:t>
            </w:r>
          </w:p>
        </w:tc>
      </w:tr>
    </w:tbl>
    <w:p>
      <w:pPr>
        <w:spacing w:after="120"/>
        <w:jc w:val="center"/>
      </w:pPr>
      <w:r>
        <w:rPr>
          <w:i/>
          <w:sz w:val="18"/>
        </w:rPr>
        <w:t>Table 1. Variables used in the analysis</w:t>
      </w:r>
    </w:p>
    <w:p>
      <w:pPr>
        <w:pStyle w:val="Heading1"/>
      </w:pPr>
      <w:r>
        <w:t>2. Data Preprocessing</w:t>
      </w:r>
    </w:p>
    <w:p>
      <w:pPr>
        <w:pStyle w:val="ListBullet"/>
        <w:spacing w:after="40"/>
      </w:pPr>
      <w:r>
        <w:rPr>
          <w:b/>
        </w:rPr>
        <w:t xml:space="preserve">Data loading and initial inspection: </w:t>
      </w:r>
      <w:r>
        <w:rPr>
          <w:i w:val="0"/>
        </w:rPr>
        <w:t>the CSV files were read with pandas. The daily survey has 14,431 rows × 15 columns, the initial survey 103 × 142, the screen file 283,504 events and the activity file 5.9 million rows. Timestamps are local times stored as text.</w:t>
      </w:r>
    </w:p>
    <w:p>
      <w:pPr>
        <w:pStyle w:val="ListBullet"/>
        <w:spacing w:after="40"/>
      </w:pPr>
      <w:r>
        <w:rPr>
          <w:b/>
        </w:rPr>
        <w:t xml:space="preserve">Missing values: </w:t>
      </w:r>
      <w:r>
        <w:rPr>
          <w:i w:val="0"/>
        </w:rPr>
        <w:t>the four affect ratings were complete. 434 reports lacked answer-timing columns, which were not needed, so those columns were dropped instead of the reports. In the hour before a report, activity data were missing for 34% of reports; these values were left missing and each test used only participants with enough data.</w:t>
      </w:r>
    </w:p>
    <w:p>
      <w:pPr>
        <w:pStyle w:val="ListBullet"/>
        <w:spacing w:after="40"/>
      </w:pPr>
      <w:r>
        <w:rPr>
          <w:b/>
        </w:rPr>
        <w:t xml:space="preserve">Duplicate records: </w:t>
      </w:r>
      <w:r>
        <w:rPr>
          <w:i w:val="0"/>
        </w:rPr>
        <w:t>none found.</w:t>
      </w:r>
    </w:p>
    <w:p>
      <w:pPr>
        <w:pStyle w:val="ListBullet"/>
        <w:spacing w:after="40"/>
      </w:pPr>
      <w:r>
        <w:rPr>
          <w:b/>
        </w:rPr>
        <w:t xml:space="preserve">Outliers / inconsistent values: </w:t>
      </w:r>
      <w:r>
        <w:rPr>
          <w:i w:val="0"/>
        </w:rPr>
        <w:t>screen-on counts were skewed (median 1, maximum 116 per hour) but plausible, so they were kept; tests on per-person averages limit their influence. TILTING (1.04 million activity records) was removed because it describes phone movement, not the user.</w:t>
      </w:r>
    </w:p>
    <w:p>
      <w:pPr>
        <w:pStyle w:val="ListBullet"/>
        <w:spacing w:after="40"/>
      </w:pPr>
      <w:r>
        <w:rPr>
          <w:b/>
        </w:rPr>
        <w:t xml:space="preserve">Data type and format corrections: </w:t>
      </w:r>
      <w:r>
        <w:rPr>
          <w:i w:val="0"/>
        </w:rPr>
        <w:t>timestamps were parsed to datetime and rounded down to the clock hour. Sensor data were summarised per participant per hour (screen-on count, % of activity records IN_VEHICLE and STILL) and linked to each report through the full hour before it, so the unlock needed to answer the survey is not counted. Emotional event was recoded as unpleasant / none / pleasant, and dates as weekday / weekend.</w:t>
      </w:r>
    </w:p>
    <w:p>
      <w:pPr>
        <w:pStyle w:val="ListBullet"/>
        <w:spacing w:after="40"/>
      </w:pPr>
      <w:r>
        <w:rPr>
          <w:b/>
        </w:rPr>
        <w:t xml:space="preserve">Encoding / transformation: </w:t>
      </w:r>
      <w:r>
        <w:rPr>
          <w:i w:val="0"/>
        </w:rPr>
        <w:t>participants use the slider very differently (personal means 0.9–94.5), so each report was labelled high or low stress relative to that participant’s own median; 2,073 reports at the median were left unlabelled. Energy and mood were split the same way. Questionnaire totals were computed and grouped with standard cut-offs (GAD-7 ≥ 10, PHQ-9 ≥ 10, BRS &lt; 3). Average stress per participant was also grouped as above / below the median and into thirds for the z-test and chi-square test.</w:t>
      </w:r>
    </w:p>
    <w:p>
      <w:pPr>
        <w:pStyle w:val="ListBullet"/>
        <w:spacing w:after="40"/>
      </w:pPr>
      <w:r>
        <w:rPr>
          <w:b/>
        </w:rPr>
        <w:t xml:space="preserve">Final dataset: </w:t>
      </w:r>
      <w:r>
        <w:rPr>
          <w:i w:val="0"/>
        </w:rPr>
        <w:t>14,431 reports and 103 participants. Paired tests keep participants with at least three reports in each condition. The 386 MB activity file was reduced to a 1.3 MB hourly table so the project can be shared.</w:t>
      </w:r>
    </w:p>
    <w:p>
      <w:pPr>
        <w:spacing w:after="120"/>
      </w:pPr>
      <w:r>
        <w:rPr>
          <w:b/>
        </w:rPr>
        <w:t xml:space="preserve">Preprocessing summary: </w:t>
      </w:r>
      <w:r>
        <w:rPr>
          <w:i w:val="0"/>
        </w:rPr>
        <w:t>about 6.2 million raw rows → one clean table of 14,431 reports and one of 103 participants.</w:t>
      </w:r>
    </w:p>
    <w:p>
      <w:pPr>
        <w:pStyle w:val="Heading1"/>
      </w:pPr>
      <w:r>
        <w:t>3. Exploratory Data Analysis (EDA)</w:t>
      </w:r>
    </w:p>
    <w:p>
      <w:pPr>
        <w:spacing w:after="80"/>
      </w:pPr>
      <w:r>
        <w:rPr>
          <w:b/>
        </w:rPr>
        <w:t xml:space="preserve">Questions explored: </w:t>
      </w:r>
      <w:r>
        <w:rPr>
          <w:i w:val="0"/>
        </w:rPr>
        <w:t>how stress is distributed, when it peaks, how much people differ, and what moves with it.</w:t>
      </w:r>
    </w:p>
    <w:p>
      <w:pPr>
        <w:pStyle w:val="Heading2"/>
      </w:pPr>
      <w:r>
        <w:t>3.1 Descriptive statistics</w:t>
      </w:r>
    </w:p>
    <w:tbl>
      <w:tblPr>
        <w:tblStyle w:val="TableGrid"/>
        <w:tblW w:type="auto" w:w="0"/>
        <w:tblLayout w:type="fixed"/>
        <w:tblLook w:firstColumn="1" w:firstRow="1" w:lastColumn="0" w:lastRow="0" w:noHBand="0" w:noVBand="1" w:val="04A0"/>
      </w:tblPr>
      <w:tblGrid>
        <w:gridCol w:w="2520"/>
        <w:gridCol w:w="1944"/>
        <w:gridCol w:w="2520"/>
        <w:gridCol w:w="2952"/>
      </w:tblGrid>
      <w:tr>
        <w:tc>
          <w:tcPr>
            <w:tcW w:type="dxa" w:w="2520"/>
            <w:shd w:val="clear" w:color="auto" w:fill="D9EAF7"/>
          </w:tcPr>
          <w:p>
            <w:pPr>
              <w:keepNext/>
              <w:spacing w:after="0"/>
            </w:pPr>
            <w:r>
              <w:rPr>
                <w:rFonts w:ascii="Calibri" w:hAnsi="Calibri"/>
                <w:b/>
                <w:sz w:val="17"/>
              </w:rPr>
              <w:t>Variable</w:t>
            </w:r>
          </w:p>
        </w:tc>
        <w:tc>
          <w:tcPr>
            <w:tcW w:type="dxa" w:w="1944"/>
            <w:shd w:val="clear" w:color="auto" w:fill="D9EAF7"/>
          </w:tcPr>
          <w:p>
            <w:pPr>
              <w:keepNext/>
              <w:spacing w:after="0"/>
            </w:pPr>
            <w:r>
              <w:rPr>
                <w:rFonts w:ascii="Calibri" w:hAnsi="Calibri"/>
                <w:b/>
                <w:sz w:val="17"/>
              </w:rPr>
              <w:t>Summary measure</w:t>
            </w:r>
          </w:p>
        </w:tc>
        <w:tc>
          <w:tcPr>
            <w:tcW w:type="dxa" w:w="2520"/>
            <w:shd w:val="clear" w:color="auto" w:fill="D9EAF7"/>
          </w:tcPr>
          <w:p>
            <w:pPr>
              <w:keepNext/>
              <w:spacing w:after="0"/>
            </w:pPr>
            <w:r>
              <w:rPr>
                <w:rFonts w:ascii="Calibri" w:hAnsi="Calibri"/>
                <w:b/>
                <w:sz w:val="17"/>
              </w:rPr>
              <w:t>Value</w:t>
            </w:r>
          </w:p>
        </w:tc>
        <w:tc>
          <w:tcPr>
            <w:tcW w:type="dxa" w:w="2952"/>
            <w:shd w:val="clear" w:color="auto" w:fill="D9EAF7"/>
          </w:tcPr>
          <w:p>
            <w:pPr>
              <w:keepNext/>
              <w:spacing w:after="0"/>
            </w:pPr>
            <w:r>
              <w:rPr>
                <w:rFonts w:ascii="Calibri" w:hAnsi="Calibri"/>
                <w:b/>
                <w:sz w:val="17"/>
              </w:rPr>
              <w:t>Interpretation</w:t>
            </w:r>
          </w:p>
        </w:tc>
      </w:tr>
      <w:tr>
        <w:tc>
          <w:tcPr>
            <w:tcW w:type="dxa" w:w="2520"/>
          </w:tcPr>
          <w:p>
            <w:pPr>
              <w:keepNext/>
              <w:spacing w:after="0"/>
            </w:pPr>
            <w:r>
              <w:rPr>
                <w:rFonts w:ascii="Calibri" w:hAnsi="Calibri"/>
                <w:sz w:val="17"/>
              </w:rPr>
              <w:t>Tense arousal (all reports)</w:t>
            </w:r>
          </w:p>
        </w:tc>
        <w:tc>
          <w:tcPr>
            <w:tcW w:type="dxa" w:w="1944"/>
          </w:tcPr>
          <w:p>
            <w:pPr>
              <w:keepNext/>
              <w:spacing w:after="0"/>
            </w:pPr>
            <w:r>
              <w:rPr>
                <w:rFonts w:ascii="Calibri" w:hAnsi="Calibri"/>
                <w:sz w:val="17"/>
              </w:rPr>
              <w:t>Mean / median (SD)</w:t>
            </w:r>
          </w:p>
        </w:tc>
        <w:tc>
          <w:tcPr>
            <w:tcW w:type="dxa" w:w="2520"/>
          </w:tcPr>
          <w:p>
            <w:pPr>
              <w:keepNext/>
              <w:spacing w:after="0"/>
            </w:pPr>
            <w:r>
              <w:rPr>
                <w:rFonts w:ascii="Calibri" w:hAnsi="Calibri"/>
                <w:sz w:val="17"/>
              </w:rPr>
              <w:t>34.3 / 31.0 (23.9)</w:t>
            </w:r>
          </w:p>
        </w:tc>
        <w:tc>
          <w:tcPr>
            <w:tcW w:type="dxa" w:w="2952"/>
          </w:tcPr>
          <w:p>
            <w:pPr>
              <w:keepNext/>
              <w:spacing w:after="0"/>
            </w:pPr>
            <w:r>
              <w:rPr>
                <w:rFonts w:ascii="Calibri" w:hAnsi="Calibri"/>
                <w:sz w:val="17"/>
              </w:rPr>
              <w:t>Low-to-moderate stress; right-skewed, spikes at 0 (8.4%) and 50 (9.7%)</w:t>
            </w:r>
          </w:p>
        </w:tc>
      </w:tr>
      <w:tr>
        <w:tc>
          <w:tcPr>
            <w:tcW w:type="dxa" w:w="2520"/>
          </w:tcPr>
          <w:p>
            <w:pPr>
              <w:keepNext/>
              <w:spacing w:after="0"/>
            </w:pPr>
            <w:r>
              <w:rPr>
                <w:rFonts w:ascii="Calibri" w:hAnsi="Calibri"/>
                <w:sz w:val="17"/>
              </w:rPr>
              <w:t>Mean stress per participant</w:t>
            </w:r>
          </w:p>
        </w:tc>
        <w:tc>
          <w:tcPr>
            <w:tcW w:type="dxa" w:w="1944"/>
          </w:tcPr>
          <w:p>
            <w:pPr>
              <w:keepNext/>
              <w:spacing w:after="0"/>
            </w:pPr>
            <w:r>
              <w:rPr>
                <w:rFonts w:ascii="Calibri" w:hAnsi="Calibri"/>
                <w:sz w:val="17"/>
              </w:rPr>
              <w:t>Range (median)</w:t>
            </w:r>
          </w:p>
        </w:tc>
        <w:tc>
          <w:tcPr>
            <w:tcW w:type="dxa" w:w="2520"/>
          </w:tcPr>
          <w:p>
            <w:pPr>
              <w:keepNext/>
              <w:spacing w:after="0"/>
            </w:pPr>
            <w:r>
              <w:rPr>
                <w:rFonts w:ascii="Calibri" w:hAnsi="Calibri"/>
                <w:sz w:val="17"/>
              </w:rPr>
              <w:t>0.9–94.5 (35.7)</w:t>
            </w:r>
          </w:p>
        </w:tc>
        <w:tc>
          <w:tcPr>
            <w:tcW w:type="dxa" w:w="2952"/>
          </w:tcPr>
          <w:p>
            <w:pPr>
              <w:keepNext/>
              <w:spacing w:after="0"/>
            </w:pPr>
            <w:r>
              <w:rPr>
                <w:rFonts w:ascii="Calibri" w:hAnsi="Calibri"/>
                <w:sz w:val="17"/>
              </w:rPr>
              <w:t>Very large differences between people</w:t>
            </w:r>
          </w:p>
        </w:tc>
      </w:tr>
      <w:tr>
        <w:tc>
          <w:tcPr>
            <w:tcW w:type="dxa" w:w="2520"/>
          </w:tcPr>
          <w:p>
            <w:pPr>
              <w:keepNext/>
              <w:spacing w:after="0"/>
            </w:pPr>
            <w:r>
              <w:rPr>
                <w:rFonts w:ascii="Calibri" w:hAnsi="Calibri"/>
                <w:sz w:val="17"/>
              </w:rPr>
              <w:t>Valence; energetic arousal</w:t>
            </w:r>
          </w:p>
        </w:tc>
        <w:tc>
          <w:tcPr>
            <w:tcW w:type="dxa" w:w="1944"/>
          </w:tcPr>
          <w:p>
            <w:pPr>
              <w:keepNext/>
              <w:spacing w:after="0"/>
            </w:pPr>
            <w:r>
              <w:rPr>
                <w:rFonts w:ascii="Calibri" w:hAnsi="Calibri"/>
                <w:sz w:val="17"/>
              </w:rPr>
              <w:t>Mean (SD)</w:t>
            </w:r>
          </w:p>
        </w:tc>
        <w:tc>
          <w:tcPr>
            <w:tcW w:type="dxa" w:w="2520"/>
          </w:tcPr>
          <w:p>
            <w:pPr>
              <w:keepNext/>
              <w:spacing w:after="0"/>
            </w:pPr>
            <w:r>
              <w:rPr>
                <w:rFonts w:ascii="Calibri" w:hAnsi="Calibri"/>
                <w:sz w:val="17"/>
              </w:rPr>
              <w:t>21.6 (21.4); 60.9 (25.1)</w:t>
            </w:r>
          </w:p>
        </w:tc>
        <w:tc>
          <w:tcPr>
            <w:tcW w:type="dxa" w:w="2952"/>
          </w:tcPr>
          <w:p>
            <w:pPr>
              <w:keepNext/>
              <w:spacing w:after="0"/>
            </w:pPr>
            <w:r>
              <w:rPr>
                <w:rFonts w:ascii="Calibri" w:hAnsi="Calibri"/>
                <w:sz w:val="17"/>
              </w:rPr>
              <w:t>Mood mostly positive; usually fairly awake</w:t>
            </w:r>
          </w:p>
        </w:tc>
      </w:tr>
      <w:tr>
        <w:tc>
          <w:tcPr>
            <w:tcW w:type="dxa" w:w="2520"/>
          </w:tcPr>
          <w:p>
            <w:pPr>
              <w:keepNext/>
              <w:spacing w:after="0"/>
            </w:pPr>
            <w:r>
              <w:rPr>
                <w:rFonts w:ascii="Calibri" w:hAnsi="Calibri"/>
                <w:sz w:val="17"/>
              </w:rPr>
              <w:t>Emotional event</w:t>
            </w:r>
          </w:p>
        </w:tc>
        <w:tc>
          <w:tcPr>
            <w:tcW w:type="dxa" w:w="1944"/>
          </w:tcPr>
          <w:p>
            <w:pPr>
              <w:keepNext/>
              <w:spacing w:after="0"/>
            </w:pPr>
            <w:r>
              <w:rPr>
                <w:rFonts w:ascii="Calibri" w:hAnsi="Calibri"/>
                <w:sz w:val="17"/>
              </w:rPr>
              <w:t>% of reports</w:t>
            </w:r>
          </w:p>
        </w:tc>
        <w:tc>
          <w:tcPr>
            <w:tcW w:type="dxa" w:w="2520"/>
          </w:tcPr>
          <w:p>
            <w:pPr>
              <w:keepNext/>
              <w:spacing w:after="0"/>
            </w:pPr>
            <w:r>
              <w:rPr>
                <w:rFonts w:ascii="Calibri" w:hAnsi="Calibri"/>
                <w:sz w:val="17"/>
              </w:rPr>
              <w:t>None 59.2, pleasant 31.5, unpleasant 9.3</w:t>
            </w:r>
          </w:p>
        </w:tc>
        <w:tc>
          <w:tcPr>
            <w:tcW w:type="dxa" w:w="2952"/>
          </w:tcPr>
          <w:p>
            <w:pPr>
              <w:keepNext/>
              <w:spacing w:after="0"/>
            </w:pPr>
            <w:r>
              <w:rPr>
                <w:rFonts w:ascii="Calibri" w:hAnsi="Calibri"/>
                <w:sz w:val="17"/>
              </w:rPr>
              <w:t>Unpleasant events are uncommon</w:t>
            </w:r>
          </w:p>
        </w:tc>
      </w:tr>
      <w:tr>
        <w:tc>
          <w:tcPr>
            <w:tcW w:type="dxa" w:w="2520"/>
          </w:tcPr>
          <w:p>
            <w:pPr>
              <w:keepNext/>
              <w:spacing w:after="0"/>
            </w:pPr>
            <w:r>
              <w:rPr>
                <w:rFonts w:ascii="Calibri" w:hAnsi="Calibri"/>
                <w:sz w:val="17"/>
              </w:rPr>
              <w:t>Screen turned on (hour before)</w:t>
            </w:r>
          </w:p>
        </w:tc>
        <w:tc>
          <w:tcPr>
            <w:tcW w:type="dxa" w:w="1944"/>
          </w:tcPr>
          <w:p>
            <w:pPr>
              <w:keepNext/>
              <w:spacing w:after="0"/>
            </w:pPr>
            <w:r>
              <w:rPr>
                <w:rFonts w:ascii="Calibri" w:hAnsi="Calibri"/>
                <w:sz w:val="17"/>
              </w:rPr>
              <w:t>Median (max)</w:t>
            </w:r>
          </w:p>
        </w:tc>
        <w:tc>
          <w:tcPr>
            <w:tcW w:type="dxa" w:w="2520"/>
          </w:tcPr>
          <w:p>
            <w:pPr>
              <w:keepNext/>
              <w:spacing w:after="0"/>
            </w:pPr>
            <w:r>
              <w:rPr>
                <w:rFonts w:ascii="Calibri" w:hAnsi="Calibri"/>
                <w:sz w:val="17"/>
              </w:rPr>
              <w:t>1 (116)</w:t>
            </w:r>
          </w:p>
        </w:tc>
        <w:tc>
          <w:tcPr>
            <w:tcW w:type="dxa" w:w="2952"/>
          </w:tcPr>
          <w:p>
            <w:pPr>
              <w:keepNext/>
              <w:spacing w:after="0"/>
            </w:pPr>
            <w:r>
              <w:rPr>
                <w:rFonts w:ascii="Calibri" w:hAnsi="Calibri"/>
                <w:sz w:val="17"/>
              </w:rPr>
              <w:t>Skewed count</w:t>
            </w:r>
          </w:p>
        </w:tc>
      </w:tr>
      <w:tr>
        <w:tc>
          <w:tcPr>
            <w:tcW w:type="dxa" w:w="2520"/>
          </w:tcPr>
          <w:p>
            <w:pPr>
              <w:keepNext/>
              <w:spacing w:after="0"/>
            </w:pPr>
            <w:r>
              <w:rPr>
                <w:rFonts w:ascii="Calibri" w:hAnsi="Calibri"/>
                <w:sz w:val="17"/>
              </w:rPr>
              <w:t>% of hour in a vehicle</w:t>
            </w:r>
          </w:p>
        </w:tc>
        <w:tc>
          <w:tcPr>
            <w:tcW w:type="dxa" w:w="1944"/>
          </w:tcPr>
          <w:p>
            <w:pPr>
              <w:keepNext/>
              <w:spacing w:after="0"/>
            </w:pPr>
            <w:r>
              <w:rPr>
                <w:rFonts w:ascii="Calibri" w:hAnsi="Calibri"/>
                <w:sz w:val="17"/>
              </w:rPr>
              <w:t>Mean (median)</w:t>
            </w:r>
          </w:p>
        </w:tc>
        <w:tc>
          <w:tcPr>
            <w:tcW w:type="dxa" w:w="2520"/>
          </w:tcPr>
          <w:p>
            <w:pPr>
              <w:keepNext/>
              <w:spacing w:after="0"/>
            </w:pPr>
            <w:r>
              <w:rPr>
                <w:rFonts w:ascii="Calibri" w:hAnsi="Calibri"/>
                <w:sz w:val="17"/>
              </w:rPr>
              <w:t>7.1% (0%)</w:t>
            </w:r>
          </w:p>
        </w:tc>
        <w:tc>
          <w:tcPr>
            <w:tcW w:type="dxa" w:w="2952"/>
          </w:tcPr>
          <w:p>
            <w:pPr>
              <w:keepNext/>
              <w:spacing w:after="0"/>
            </w:pPr>
            <w:r>
              <w:rPr>
                <w:rFonts w:ascii="Calibri" w:hAnsi="Calibri"/>
                <w:sz w:val="17"/>
              </w:rPr>
              <w:t>Most hours involve no travel</w:t>
            </w:r>
          </w:p>
        </w:tc>
      </w:tr>
      <w:tr>
        <w:tc>
          <w:tcPr>
            <w:tcW w:type="dxa" w:w="2520"/>
          </w:tcPr>
          <w:p>
            <w:pPr>
              <w:keepNext/>
              <w:spacing w:after="0"/>
            </w:pPr>
            <w:r>
              <w:rPr>
                <w:rFonts w:ascii="Calibri" w:hAnsi="Calibri"/>
                <w:sz w:val="17"/>
              </w:rPr>
              <w:t>% of hour sitting still</w:t>
            </w:r>
          </w:p>
        </w:tc>
        <w:tc>
          <w:tcPr>
            <w:tcW w:type="dxa" w:w="1944"/>
          </w:tcPr>
          <w:p>
            <w:pPr>
              <w:keepNext/>
              <w:spacing w:after="0"/>
            </w:pPr>
            <w:r>
              <w:rPr>
                <w:rFonts w:ascii="Calibri" w:hAnsi="Calibri"/>
                <w:sz w:val="17"/>
              </w:rPr>
              <w:t>Mean (SD)</w:t>
            </w:r>
          </w:p>
        </w:tc>
        <w:tc>
          <w:tcPr>
            <w:tcW w:type="dxa" w:w="2520"/>
          </w:tcPr>
          <w:p>
            <w:pPr>
              <w:keepNext/>
              <w:spacing w:after="0"/>
            </w:pPr>
            <w:r>
              <w:rPr>
                <w:rFonts w:ascii="Calibri" w:hAnsi="Calibri"/>
                <w:sz w:val="17"/>
              </w:rPr>
              <w:t>83.4% (27.1)</w:t>
            </w:r>
          </w:p>
        </w:tc>
        <w:tc>
          <w:tcPr>
            <w:tcW w:type="dxa" w:w="2952"/>
          </w:tcPr>
          <w:p>
            <w:pPr>
              <w:keepNext/>
              <w:spacing w:after="0"/>
            </w:pPr>
            <w:r>
              <w:rPr>
                <w:rFonts w:ascii="Calibri" w:hAnsi="Calibri"/>
                <w:sz w:val="17"/>
              </w:rPr>
              <w:t>People are mostly stationary</w:t>
            </w:r>
          </w:p>
        </w:tc>
      </w:tr>
      <w:tr>
        <w:tc>
          <w:tcPr>
            <w:tcW w:type="dxa" w:w="2520"/>
          </w:tcPr>
          <w:p>
            <w:pPr>
              <w:keepNext/>
              <w:spacing w:after="0"/>
            </w:pPr>
            <w:r>
              <w:rPr>
                <w:rFonts w:ascii="Calibri" w:hAnsi="Calibri"/>
                <w:sz w:val="17"/>
              </w:rPr>
              <w:t>GAD-7 anxiety</w:t>
            </w:r>
          </w:p>
        </w:tc>
        <w:tc>
          <w:tcPr>
            <w:tcW w:type="dxa" w:w="1944"/>
          </w:tcPr>
          <w:p>
            <w:pPr>
              <w:keepNext/>
              <w:spacing w:after="0"/>
            </w:pPr>
            <w:r>
              <w:rPr>
                <w:rFonts w:ascii="Calibri" w:hAnsi="Calibri"/>
                <w:sz w:val="17"/>
              </w:rPr>
              <w:t>Mean (% ≥ 10)</w:t>
            </w:r>
          </w:p>
        </w:tc>
        <w:tc>
          <w:tcPr>
            <w:tcW w:type="dxa" w:w="2520"/>
          </w:tcPr>
          <w:p>
            <w:pPr>
              <w:keepNext/>
              <w:spacing w:after="0"/>
            </w:pPr>
            <w:r>
              <w:rPr>
                <w:rFonts w:ascii="Calibri" w:hAnsi="Calibri"/>
                <w:sz w:val="17"/>
              </w:rPr>
              <w:t>7.0 (28.2%)</w:t>
            </w:r>
          </w:p>
        </w:tc>
        <w:tc>
          <w:tcPr>
            <w:tcW w:type="dxa" w:w="2952"/>
          </w:tcPr>
          <w:p>
            <w:pPr>
              <w:keepNext/>
              <w:spacing w:after="0"/>
            </w:pPr>
            <w:r>
              <w:rPr>
                <w:rFonts w:ascii="Calibri" w:hAnsi="Calibri"/>
                <w:sz w:val="17"/>
              </w:rPr>
              <w:t>29 of 103 report at least moderate anxiety</w:t>
            </w:r>
          </w:p>
        </w:tc>
      </w:tr>
      <w:tr>
        <w:tc>
          <w:tcPr>
            <w:tcW w:type="dxa" w:w="2520"/>
          </w:tcPr>
          <w:p>
            <w:pPr>
              <w:spacing w:after="0"/>
            </w:pPr>
            <w:r>
              <w:rPr>
                <w:rFonts w:ascii="Calibri" w:hAnsi="Calibri"/>
                <w:sz w:val="17"/>
              </w:rPr>
              <w:t>Participants</w:t>
            </w:r>
          </w:p>
        </w:tc>
        <w:tc>
          <w:tcPr>
            <w:tcW w:type="dxa" w:w="1944"/>
          </w:tcPr>
          <w:p>
            <w:pPr>
              <w:spacing w:after="0"/>
            </w:pPr>
            <w:r>
              <w:rPr>
                <w:rFonts w:ascii="Calibri" w:hAnsi="Calibri"/>
                <w:sz w:val="17"/>
              </w:rPr>
              <w:t>Gender; age</w:t>
            </w:r>
          </w:p>
        </w:tc>
        <w:tc>
          <w:tcPr>
            <w:tcW w:type="dxa" w:w="2520"/>
          </w:tcPr>
          <w:p>
            <w:pPr>
              <w:spacing w:after="0"/>
            </w:pPr>
            <w:r>
              <w:rPr>
                <w:rFonts w:ascii="Calibri" w:hAnsi="Calibri"/>
                <w:sz w:val="17"/>
              </w:rPr>
              <w:t>51 F, 52 M; 18–70 (median 46)</w:t>
            </w:r>
          </w:p>
        </w:tc>
        <w:tc>
          <w:tcPr>
            <w:tcW w:type="dxa" w:w="2952"/>
          </w:tcPr>
          <w:p>
            <w:pPr>
              <w:spacing w:after="0"/>
            </w:pPr>
            <w:r>
              <w:rPr>
                <w:rFonts w:ascii="Calibri" w:hAnsi="Calibri"/>
                <w:sz w:val="17"/>
              </w:rPr>
              <w:t>Balanced by gender, wide age range</w:t>
            </w:r>
          </w:p>
        </w:tc>
      </w:tr>
    </w:tbl>
    <w:p>
      <w:pPr>
        <w:spacing w:after="120"/>
        <w:jc w:val="center"/>
      </w:pPr>
      <w:r>
        <w:rPr>
          <w:i/>
          <w:sz w:val="18"/>
        </w:rPr>
        <w:t>Table 2. Descriptive statistics</w:t>
      </w:r>
    </w:p>
    <w:p>
      <w:pPr>
        <w:pStyle w:val="Heading2"/>
      </w:pPr>
      <w:r>
        <w:t>3.2 Visual analysis and observations</w:t>
      </w:r>
    </w:p>
    <w:p>
      <w:pPr>
        <w:spacing w:after="40"/>
        <w:jc w:val="center"/>
      </w:pPr>
      <w:r>
        <w:drawing>
          <wp:inline xmlns:a="http://schemas.openxmlformats.org/drawingml/2006/main" xmlns:pic="http://schemas.openxmlformats.org/drawingml/2006/picture">
            <wp:extent cx="5120640" cy="1589164"/>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120640" cy="1589164"/>
                    </a:xfrm>
                    <a:prstGeom prst="rect"/>
                  </pic:spPr>
                </pic:pic>
              </a:graphicData>
            </a:graphic>
          </wp:inline>
        </w:drawing>
      </w:r>
    </w:p>
    <w:p>
      <w:pPr>
        <w:spacing w:after="120"/>
        <w:jc w:val="center"/>
      </w:pPr>
      <w:r>
        <w:rPr>
          <w:i/>
          <w:sz w:val="18"/>
        </w:rPr>
        <w:t>Figure 1. Distribution of tense arousal (left) and mean stress at each survey time with 95% CI (right)</w:t>
      </w:r>
    </w:p>
    <w:p>
      <w:pPr>
        <w:spacing w:after="80"/>
      </w:pPr>
      <w:r>
        <w:rPr>
          <w:b/>
        </w:rPr>
        <w:t xml:space="preserve">Observation: </w:t>
      </w:r>
      <w:r>
        <w:rPr>
          <w:i w:val="0"/>
        </w:rPr>
        <w:t>stress values cluster below 50 with a long right tail; the spikes at 0 and 50 are the slider’s start and midpoint. Stress follows a daily cycle: it rises from 33.3 at 08:00 to 36.4 at 13:00 and falls to 31.4 at 22:00, in line with daytime work demands.</w:t>
      </w:r>
    </w:p>
    <w:p>
      <w:pPr>
        <w:spacing w:after="40"/>
        <w:jc w:val="center"/>
      </w:pPr>
      <w:r>
        <w:drawing>
          <wp:inline xmlns:a="http://schemas.openxmlformats.org/drawingml/2006/main" xmlns:pic="http://schemas.openxmlformats.org/drawingml/2006/picture">
            <wp:extent cx="4846320" cy="1699138"/>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4846320" cy="1699138"/>
                    </a:xfrm>
                    <a:prstGeom prst="rect"/>
                  </pic:spPr>
                </pic:pic>
              </a:graphicData>
            </a:graphic>
          </wp:inline>
        </w:drawing>
      </w:r>
    </w:p>
    <w:p>
      <w:pPr>
        <w:spacing w:after="120"/>
        <w:jc w:val="center"/>
      </w:pPr>
      <w:r>
        <w:rPr>
          <w:i/>
          <w:sz w:val="18"/>
        </w:rPr>
        <w:t>Figure 2. Mean stress per participant (left) and Pearson correlations between report-level variables (right)</w:t>
      </w:r>
    </w:p>
    <w:p>
      <w:pPr>
        <w:spacing w:after="80"/>
      </w:pPr>
      <w:r>
        <w:rPr>
          <w:b/>
        </w:rPr>
        <w:t xml:space="preserve">Observation: </w:t>
      </w:r>
      <w:r>
        <w:rPr>
          <w:i w:val="0"/>
        </w:rPr>
        <w:t>typical stress levels vary widely between people, so pooled comparisons would mostly reflect who answered, not what was happening. Stress moves with mood (r = −0.58), energy (r = −0.34) and emotional events (r = −0.22). Pooled sensor correlations are near zero (|r| ≤ 0.05), so any sensor effect is small and will only show when each person is compared with themselves.</w:t>
      </w:r>
    </w:p>
    <w:p>
      <w:pPr>
        <w:spacing w:after="80"/>
      </w:pPr>
      <w:r>
        <w:rPr>
          <w:b/>
        </w:rPr>
        <w:t xml:space="preserve">Key EDA insights: </w:t>
      </w:r>
      <w:r>
        <w:rPr>
          <w:i w:val="0"/>
        </w:rPr>
        <w:t>(1) Scale use differs strongly between people, which calls for within-person comparisons (paired tests). (2) Mood and energy track stress far more closely than any sensor. (3) Mean stress correlates with GAD-7 anxiety (r = 0.56), supporting tense arousal as a valid stress measure. (4) Activity data are missing for a third of reports, which reduces the sample for H2 and H3.</w:t>
      </w:r>
    </w:p>
    <w:p>
      <w:pPr>
        <w:pStyle w:val="Heading1"/>
      </w:pPr>
      <w:r>
        <w:t>4. Confirmatory Data Analysis (CDA)</w:t>
      </w:r>
    </w:p>
    <w:p>
      <w:pPr>
        <w:pStyle w:val="Heading2"/>
      </w:pPr>
      <w:r>
        <w:t>4.1 Research question and hypotheses</w:t>
      </w:r>
    </w:p>
    <w:p>
      <w:pPr>
        <w:spacing w:after="80"/>
      </w:pPr>
      <w:r>
        <w:rPr>
          <w:b/>
        </w:rPr>
        <w:t xml:space="preserve">Research question: </w:t>
      </w:r>
      <w:r>
        <w:rPr>
          <w:i w:val="0"/>
        </w:rPr>
        <w:t>which momentary contexts and personal characteristics are associated with higher stress?</w:t>
      </w:r>
    </w:p>
    <w:p>
      <w:pPr>
        <w:spacing w:after="80"/>
      </w:pPr>
      <w:r>
        <w:rPr>
          <w:b/>
        </w:rPr>
        <w:t xml:space="preserve">Null hypothesis (H₀): </w:t>
      </w:r>
      <w:r>
        <w:rPr>
          <w:i w:val="0"/>
        </w:rPr>
        <w:t>for each factor in Table 3 there is no difference in mean stress (or in the sensor measure) between the conditions compared, no difference in proportions (H8), or no association (H9).</w:t>
      </w:r>
    </w:p>
    <w:p>
      <w:pPr>
        <w:spacing w:after="80"/>
      </w:pPr>
      <w:r>
        <w:rPr>
          <w:b/>
        </w:rPr>
        <w:t xml:space="preserve">Alternative hypothesis (H₁): </w:t>
      </w:r>
      <w:r>
        <w:rPr>
          <w:i w:val="0"/>
        </w:rPr>
        <w:t>a difference or association exists. All tests are two-sided.</w:t>
      </w:r>
    </w:p>
    <w:p>
      <w:pPr>
        <w:spacing w:after="80"/>
      </w:pPr>
      <w:r>
        <w:rPr>
          <w:b/>
        </w:rPr>
        <w:t xml:space="preserve">Significance level (α): </w:t>
      </w:r>
      <w:r>
        <w:rPr>
          <w:i w:val="0"/>
        </w:rPr>
        <w:t>0.05 for each test.</w:t>
      </w:r>
    </w:p>
    <w:p>
      <w:pPr>
        <w:pStyle w:val="Heading2"/>
      </w:pPr>
      <w:r>
        <w:t>4.2 Statistical test and results</w:t>
      </w:r>
    </w:p>
    <w:p>
      <w:pPr>
        <w:spacing w:after="80"/>
      </w:pPr>
      <w:r>
        <w:rPr>
          <w:b/>
        </w:rPr>
        <w:t xml:space="preserve">Test used: </w:t>
      </w:r>
      <w:r>
        <w:rPr>
          <w:i w:val="0"/>
        </w:rPr>
        <w:t>paired t-test (H1–H4, H6, H7), z-test for a mean difference (H5), two-proportion z-test (H8), chi-square test of independence (H9), independent-samples t-test (H10) and one-way ANOVA (H11, H12).</w:t>
      </w:r>
    </w:p>
    <w:p>
      <w:pPr>
        <w:spacing w:after="80"/>
      </w:pPr>
      <w:r>
        <w:rPr>
          <w:b/>
        </w:rPr>
        <w:t xml:space="preserve">Reason for choosing the test: </w:t>
      </w:r>
      <w:r>
        <w:rPr>
          <w:i w:val="0"/>
        </w:rPr>
        <w:t>H1–H7 compare the same person in two situations, so the data are paired and the test works on each person’s difference; with 40–101 participants the mean difference is close to normal (central limit theorem). H5 has the largest sample (n = 101), so a z-test is used. H8 compares a proportion (share of people with above-median stress) between two independent groups. H9 relates two categorical variables, and all expected counts exceed 5. H10 compares two independent groups of unequal size and spread, so Welch’s t-test is used. H11 and H12 compare three groups at once, which ANOVA does without inflating the error rate of repeated t-tests.</w:t>
      </w:r>
    </w:p>
    <w:tbl>
      <w:tblPr>
        <w:tblStyle w:val="TableGrid"/>
        <w:tblW w:type="auto" w:w="0"/>
        <w:tblLayout w:type="fixed"/>
        <w:tblLook w:firstColumn="1" w:firstRow="1" w:lastColumn="0" w:lastRow="0" w:noHBand="0" w:noVBand="1" w:val="04A0"/>
      </w:tblPr>
      <w:tblGrid>
        <w:gridCol w:w="504"/>
        <w:gridCol w:w="2880"/>
        <w:gridCol w:w="1080"/>
        <w:gridCol w:w="648"/>
        <w:gridCol w:w="1368"/>
        <w:gridCol w:w="720"/>
        <w:gridCol w:w="1872"/>
        <w:gridCol w:w="936"/>
      </w:tblGrid>
      <w:tr>
        <w:tc>
          <w:tcPr>
            <w:tcW w:type="dxa" w:w="504"/>
            <w:shd w:val="clear" w:color="auto" w:fill="D9EAF7"/>
          </w:tcPr>
          <w:p>
            <w:pPr>
              <w:keepNext/>
              <w:spacing w:after="0"/>
            </w:pPr>
            <w:r>
              <w:rPr>
                <w:rFonts w:ascii="Calibri" w:hAnsi="Calibri"/>
                <w:b/>
                <w:sz w:val="15"/>
              </w:rPr>
              <w:t>ID</w:t>
            </w:r>
          </w:p>
        </w:tc>
        <w:tc>
          <w:tcPr>
            <w:tcW w:type="dxa" w:w="2880"/>
            <w:shd w:val="clear" w:color="auto" w:fill="D9EAF7"/>
          </w:tcPr>
          <w:p>
            <w:pPr>
              <w:keepNext/>
              <w:spacing w:after="0"/>
            </w:pPr>
            <w:r>
              <w:rPr>
                <w:rFonts w:ascii="Calibri" w:hAnsi="Calibri"/>
                <w:b/>
                <w:sz w:val="15"/>
              </w:rPr>
              <w:t>Comparison</w:t>
            </w:r>
          </w:p>
        </w:tc>
        <w:tc>
          <w:tcPr>
            <w:tcW w:type="dxa" w:w="1080"/>
            <w:shd w:val="clear" w:color="auto" w:fill="D9EAF7"/>
          </w:tcPr>
          <w:p>
            <w:pPr>
              <w:keepNext/>
              <w:spacing w:after="0"/>
            </w:pPr>
            <w:r>
              <w:rPr>
                <w:rFonts w:ascii="Calibri" w:hAnsi="Calibri"/>
                <w:b/>
                <w:sz w:val="15"/>
              </w:rPr>
              <w:t>Test</w:t>
            </w:r>
          </w:p>
        </w:tc>
        <w:tc>
          <w:tcPr>
            <w:tcW w:type="dxa" w:w="648"/>
            <w:shd w:val="clear" w:color="auto" w:fill="D9EAF7"/>
          </w:tcPr>
          <w:p>
            <w:pPr>
              <w:keepNext/>
              <w:spacing w:after="0"/>
            </w:pPr>
            <w:r>
              <w:rPr>
                <w:rFonts w:ascii="Calibri" w:hAnsi="Calibri"/>
                <w:b/>
                <w:sz w:val="15"/>
              </w:rPr>
              <w:t>n</w:t>
            </w:r>
          </w:p>
        </w:tc>
        <w:tc>
          <w:tcPr>
            <w:tcW w:type="dxa" w:w="1368"/>
            <w:shd w:val="clear" w:color="auto" w:fill="D9EAF7"/>
          </w:tcPr>
          <w:p>
            <w:pPr>
              <w:keepNext/>
              <w:spacing w:after="0"/>
            </w:pPr>
            <w:r>
              <w:rPr>
                <w:rFonts w:ascii="Calibri" w:hAnsi="Calibri"/>
                <w:b/>
                <w:sz w:val="15"/>
              </w:rPr>
              <w:t>Statistic</w:t>
            </w:r>
          </w:p>
        </w:tc>
        <w:tc>
          <w:tcPr>
            <w:tcW w:type="dxa" w:w="720"/>
            <w:shd w:val="clear" w:color="auto" w:fill="D9EAF7"/>
          </w:tcPr>
          <w:p>
            <w:pPr>
              <w:keepNext/>
              <w:spacing w:after="0"/>
            </w:pPr>
            <w:r>
              <w:rPr>
                <w:rFonts w:ascii="Calibri" w:hAnsi="Calibri"/>
                <w:b/>
                <w:sz w:val="15"/>
              </w:rPr>
              <w:t>p</w:t>
            </w:r>
          </w:p>
        </w:tc>
        <w:tc>
          <w:tcPr>
            <w:tcW w:type="dxa" w:w="1872"/>
            <w:shd w:val="clear" w:color="auto" w:fill="D9EAF7"/>
          </w:tcPr>
          <w:p>
            <w:pPr>
              <w:keepNext/>
              <w:spacing w:after="0"/>
            </w:pPr>
            <w:r>
              <w:rPr>
                <w:rFonts w:ascii="Calibri" w:hAnsi="Calibri"/>
                <w:b/>
                <w:sz w:val="15"/>
              </w:rPr>
              <w:t>Effect [95% CI]</w:t>
            </w:r>
          </w:p>
        </w:tc>
        <w:tc>
          <w:tcPr>
            <w:tcW w:type="dxa" w:w="936"/>
            <w:shd w:val="clear" w:color="auto" w:fill="D9EAF7"/>
          </w:tcPr>
          <w:p>
            <w:pPr>
              <w:keepNext/>
              <w:spacing w:after="0"/>
            </w:pPr>
            <w:r>
              <w:rPr>
                <w:rFonts w:ascii="Calibri" w:hAnsi="Calibri"/>
                <w:b/>
                <w:sz w:val="15"/>
              </w:rPr>
              <w:t>Decision</w:t>
            </w:r>
          </w:p>
        </w:tc>
      </w:tr>
      <w:tr>
        <w:tc>
          <w:tcPr>
            <w:tcW w:type="dxa" w:w="504"/>
          </w:tcPr>
          <w:p>
            <w:pPr>
              <w:keepNext/>
              <w:spacing w:after="0"/>
            </w:pPr>
            <w:r>
              <w:rPr>
                <w:rFonts w:ascii="Calibri" w:hAnsi="Calibri"/>
                <w:sz w:val="15"/>
              </w:rPr>
              <w:t>H1</w:t>
            </w:r>
          </w:p>
        </w:tc>
        <w:tc>
          <w:tcPr>
            <w:tcW w:type="dxa" w:w="2880"/>
          </w:tcPr>
          <w:p>
            <w:pPr>
              <w:keepNext/>
              <w:spacing w:after="0"/>
            </w:pPr>
            <w:r>
              <w:rPr>
                <w:rFonts w:ascii="Calibri" w:hAnsi="Calibri"/>
                <w:sz w:val="15"/>
              </w:rPr>
              <w:t>Screen-on count, hour before: high vs low stress</w:t>
            </w:r>
          </w:p>
        </w:tc>
        <w:tc>
          <w:tcPr>
            <w:tcW w:type="dxa" w:w="1080"/>
          </w:tcPr>
          <w:p>
            <w:pPr>
              <w:keepNext/>
              <w:spacing w:after="0"/>
            </w:pPr>
            <w:r>
              <w:rPr>
                <w:rFonts w:ascii="Calibri" w:hAnsi="Calibri"/>
                <w:sz w:val="15"/>
              </w:rPr>
              <w:t>Paired t</w:t>
            </w:r>
          </w:p>
        </w:tc>
        <w:tc>
          <w:tcPr>
            <w:tcW w:type="dxa" w:w="648"/>
          </w:tcPr>
          <w:p>
            <w:pPr>
              <w:keepNext/>
              <w:spacing w:after="0"/>
            </w:pPr>
            <w:r>
              <w:rPr>
                <w:rFonts w:ascii="Calibri" w:hAnsi="Calibri"/>
                <w:sz w:val="15"/>
              </w:rPr>
              <w:t>93</w:t>
            </w:r>
          </w:p>
        </w:tc>
        <w:tc>
          <w:tcPr>
            <w:tcW w:type="dxa" w:w="1368"/>
          </w:tcPr>
          <w:p>
            <w:pPr>
              <w:keepNext/>
              <w:spacing w:after="0"/>
            </w:pPr>
            <w:r>
              <w:rPr>
                <w:rFonts w:ascii="Calibri" w:hAnsi="Calibri"/>
                <w:sz w:val="15"/>
              </w:rPr>
              <w:t>t(92) = 2.68</w:t>
            </w:r>
          </w:p>
        </w:tc>
        <w:tc>
          <w:tcPr>
            <w:tcW w:type="dxa" w:w="720"/>
          </w:tcPr>
          <w:p>
            <w:pPr>
              <w:keepNext/>
              <w:spacing w:after="0"/>
            </w:pPr>
            <w:r>
              <w:rPr>
                <w:rFonts w:ascii="Calibri" w:hAnsi="Calibri"/>
                <w:sz w:val="15"/>
              </w:rPr>
              <w:t>0.009</w:t>
            </w:r>
          </w:p>
        </w:tc>
        <w:tc>
          <w:tcPr>
            <w:tcW w:type="dxa" w:w="1872"/>
          </w:tcPr>
          <w:p>
            <w:pPr>
              <w:keepNext/>
              <w:spacing w:after="0"/>
            </w:pPr>
            <w:r>
              <w:rPr>
                <w:rFonts w:ascii="Calibri" w:hAnsi="Calibri"/>
                <w:sz w:val="15"/>
              </w:rPr>
              <w:t>+0.22 /h [0.06, 0.39]</w:t>
            </w:r>
          </w:p>
        </w:tc>
        <w:tc>
          <w:tcPr>
            <w:tcW w:type="dxa" w:w="936"/>
          </w:tcPr>
          <w:p>
            <w:pPr>
              <w:keepNext/>
              <w:spacing w:after="0"/>
            </w:pPr>
            <w:r>
              <w:rPr>
                <w:rFonts w:ascii="Calibri" w:hAnsi="Calibri"/>
                <w:sz w:val="15"/>
              </w:rPr>
              <w:t>Reject H₀</w:t>
            </w:r>
          </w:p>
        </w:tc>
      </w:tr>
      <w:tr>
        <w:tc>
          <w:tcPr>
            <w:tcW w:type="dxa" w:w="504"/>
          </w:tcPr>
          <w:p>
            <w:pPr>
              <w:keepNext/>
              <w:spacing w:after="0"/>
            </w:pPr>
            <w:r>
              <w:rPr>
                <w:rFonts w:ascii="Calibri" w:hAnsi="Calibri"/>
                <w:sz w:val="15"/>
              </w:rPr>
              <w:t>H2</w:t>
            </w:r>
          </w:p>
        </w:tc>
        <w:tc>
          <w:tcPr>
            <w:tcW w:type="dxa" w:w="2880"/>
          </w:tcPr>
          <w:p>
            <w:pPr>
              <w:keepNext/>
              <w:spacing w:after="0"/>
            </w:pPr>
            <w:r>
              <w:rPr>
                <w:rFonts w:ascii="Calibri" w:hAnsi="Calibri"/>
                <w:sz w:val="15"/>
              </w:rPr>
              <w:t>% of hour in vehicle: high vs low stress</w:t>
            </w:r>
          </w:p>
        </w:tc>
        <w:tc>
          <w:tcPr>
            <w:tcW w:type="dxa" w:w="1080"/>
          </w:tcPr>
          <w:p>
            <w:pPr>
              <w:keepNext/>
              <w:spacing w:after="0"/>
            </w:pPr>
            <w:r>
              <w:rPr>
                <w:rFonts w:ascii="Calibri" w:hAnsi="Calibri"/>
                <w:sz w:val="15"/>
              </w:rPr>
              <w:t>Paired t</w:t>
            </w:r>
          </w:p>
        </w:tc>
        <w:tc>
          <w:tcPr>
            <w:tcW w:type="dxa" w:w="648"/>
          </w:tcPr>
          <w:p>
            <w:pPr>
              <w:keepNext/>
              <w:spacing w:after="0"/>
            </w:pPr>
            <w:r>
              <w:rPr>
                <w:rFonts w:ascii="Calibri" w:hAnsi="Calibri"/>
                <w:sz w:val="15"/>
              </w:rPr>
              <w:t>86</w:t>
            </w:r>
          </w:p>
        </w:tc>
        <w:tc>
          <w:tcPr>
            <w:tcW w:type="dxa" w:w="1368"/>
          </w:tcPr>
          <w:p>
            <w:pPr>
              <w:keepNext/>
              <w:spacing w:after="0"/>
            </w:pPr>
            <w:r>
              <w:rPr>
                <w:rFonts w:ascii="Calibri" w:hAnsi="Calibri"/>
                <w:sz w:val="15"/>
              </w:rPr>
              <w:t>t(85) = 2.29</w:t>
            </w:r>
          </w:p>
        </w:tc>
        <w:tc>
          <w:tcPr>
            <w:tcW w:type="dxa" w:w="720"/>
          </w:tcPr>
          <w:p>
            <w:pPr>
              <w:keepNext/>
              <w:spacing w:after="0"/>
            </w:pPr>
            <w:r>
              <w:rPr>
                <w:rFonts w:ascii="Calibri" w:hAnsi="Calibri"/>
                <w:sz w:val="15"/>
              </w:rPr>
              <w:t>0.025</w:t>
            </w:r>
          </w:p>
        </w:tc>
        <w:tc>
          <w:tcPr>
            <w:tcW w:type="dxa" w:w="1872"/>
          </w:tcPr>
          <w:p>
            <w:pPr>
              <w:keepNext/>
              <w:spacing w:after="0"/>
            </w:pPr>
            <w:r>
              <w:rPr>
                <w:rFonts w:ascii="Calibri" w:hAnsi="Calibri"/>
                <w:sz w:val="15"/>
              </w:rPr>
              <w:t>+1.2 pp [0.2, 2.3]</w:t>
            </w:r>
          </w:p>
        </w:tc>
        <w:tc>
          <w:tcPr>
            <w:tcW w:type="dxa" w:w="936"/>
          </w:tcPr>
          <w:p>
            <w:pPr>
              <w:keepNext/>
              <w:spacing w:after="0"/>
            </w:pPr>
            <w:r>
              <w:rPr>
                <w:rFonts w:ascii="Calibri" w:hAnsi="Calibri"/>
                <w:sz w:val="15"/>
              </w:rPr>
              <w:t>Reject H₀</w:t>
            </w:r>
          </w:p>
        </w:tc>
      </w:tr>
      <w:tr>
        <w:tc>
          <w:tcPr>
            <w:tcW w:type="dxa" w:w="504"/>
          </w:tcPr>
          <w:p>
            <w:pPr>
              <w:keepNext/>
              <w:spacing w:after="0"/>
            </w:pPr>
            <w:r>
              <w:rPr>
                <w:rFonts w:ascii="Calibri" w:hAnsi="Calibri"/>
                <w:sz w:val="15"/>
              </w:rPr>
              <w:t>H3</w:t>
            </w:r>
          </w:p>
        </w:tc>
        <w:tc>
          <w:tcPr>
            <w:tcW w:type="dxa" w:w="2880"/>
          </w:tcPr>
          <w:p>
            <w:pPr>
              <w:keepNext/>
              <w:spacing w:after="0"/>
            </w:pPr>
            <w:r>
              <w:rPr>
                <w:rFonts w:ascii="Calibri" w:hAnsi="Calibri"/>
                <w:sz w:val="15"/>
              </w:rPr>
              <w:t>% of hour sitting still: high vs low stress</w:t>
            </w:r>
          </w:p>
        </w:tc>
        <w:tc>
          <w:tcPr>
            <w:tcW w:type="dxa" w:w="1080"/>
          </w:tcPr>
          <w:p>
            <w:pPr>
              <w:keepNext/>
              <w:spacing w:after="0"/>
            </w:pPr>
            <w:r>
              <w:rPr>
                <w:rFonts w:ascii="Calibri" w:hAnsi="Calibri"/>
                <w:sz w:val="15"/>
              </w:rPr>
              <w:t>Paired t</w:t>
            </w:r>
          </w:p>
        </w:tc>
        <w:tc>
          <w:tcPr>
            <w:tcW w:type="dxa" w:w="648"/>
          </w:tcPr>
          <w:p>
            <w:pPr>
              <w:keepNext/>
              <w:spacing w:after="0"/>
            </w:pPr>
            <w:r>
              <w:rPr>
                <w:rFonts w:ascii="Calibri" w:hAnsi="Calibri"/>
                <w:sz w:val="15"/>
              </w:rPr>
              <w:t>86</w:t>
            </w:r>
          </w:p>
        </w:tc>
        <w:tc>
          <w:tcPr>
            <w:tcW w:type="dxa" w:w="1368"/>
          </w:tcPr>
          <w:p>
            <w:pPr>
              <w:keepNext/>
              <w:spacing w:after="0"/>
            </w:pPr>
            <w:r>
              <w:rPr>
                <w:rFonts w:ascii="Calibri" w:hAnsi="Calibri"/>
                <w:sz w:val="15"/>
              </w:rPr>
              <w:t>t(85) = −2.58</w:t>
            </w:r>
          </w:p>
        </w:tc>
        <w:tc>
          <w:tcPr>
            <w:tcW w:type="dxa" w:w="720"/>
          </w:tcPr>
          <w:p>
            <w:pPr>
              <w:keepNext/>
              <w:spacing w:after="0"/>
            </w:pPr>
            <w:r>
              <w:rPr>
                <w:rFonts w:ascii="Calibri" w:hAnsi="Calibri"/>
                <w:sz w:val="15"/>
              </w:rPr>
              <w:t>0.012</w:t>
            </w:r>
          </w:p>
        </w:tc>
        <w:tc>
          <w:tcPr>
            <w:tcW w:type="dxa" w:w="1872"/>
          </w:tcPr>
          <w:p>
            <w:pPr>
              <w:keepNext/>
              <w:spacing w:after="0"/>
            </w:pPr>
            <w:r>
              <w:rPr>
                <w:rFonts w:ascii="Calibri" w:hAnsi="Calibri"/>
                <w:sz w:val="15"/>
              </w:rPr>
              <w:t>−2.7 pp [−4.7, −0.6]</w:t>
            </w:r>
          </w:p>
        </w:tc>
        <w:tc>
          <w:tcPr>
            <w:tcW w:type="dxa" w:w="936"/>
          </w:tcPr>
          <w:p>
            <w:pPr>
              <w:keepNext/>
              <w:spacing w:after="0"/>
            </w:pPr>
            <w:r>
              <w:rPr>
                <w:rFonts w:ascii="Calibri" w:hAnsi="Calibri"/>
                <w:sz w:val="15"/>
              </w:rPr>
              <w:t>Reject H₀</w:t>
            </w:r>
          </w:p>
        </w:tc>
      </w:tr>
      <w:tr>
        <w:tc>
          <w:tcPr>
            <w:tcW w:type="dxa" w:w="504"/>
          </w:tcPr>
          <w:p>
            <w:pPr>
              <w:keepNext/>
              <w:spacing w:after="0"/>
            </w:pPr>
            <w:r>
              <w:rPr>
                <w:rFonts w:ascii="Calibri" w:hAnsi="Calibri"/>
                <w:sz w:val="15"/>
              </w:rPr>
              <w:t>H4</w:t>
            </w:r>
          </w:p>
        </w:tc>
        <w:tc>
          <w:tcPr>
            <w:tcW w:type="dxa" w:w="2880"/>
          </w:tcPr>
          <w:p>
            <w:pPr>
              <w:keepNext/>
              <w:spacing w:after="0"/>
            </w:pPr>
            <w:r>
              <w:rPr>
                <w:rFonts w:ascii="Calibri" w:hAnsi="Calibri"/>
                <w:sz w:val="15"/>
              </w:rPr>
              <w:t>Unpleasant event vs no event</w:t>
            </w:r>
          </w:p>
        </w:tc>
        <w:tc>
          <w:tcPr>
            <w:tcW w:type="dxa" w:w="1080"/>
          </w:tcPr>
          <w:p>
            <w:pPr>
              <w:keepNext/>
              <w:spacing w:after="0"/>
            </w:pPr>
            <w:r>
              <w:rPr>
                <w:rFonts w:ascii="Calibri" w:hAnsi="Calibri"/>
                <w:sz w:val="15"/>
              </w:rPr>
              <w:t>Paired t</w:t>
            </w:r>
          </w:p>
        </w:tc>
        <w:tc>
          <w:tcPr>
            <w:tcW w:type="dxa" w:w="648"/>
          </w:tcPr>
          <w:p>
            <w:pPr>
              <w:keepNext/>
              <w:spacing w:after="0"/>
            </w:pPr>
            <w:r>
              <w:rPr>
                <w:rFonts w:ascii="Calibri" w:hAnsi="Calibri"/>
                <w:sz w:val="15"/>
              </w:rPr>
              <w:t>75</w:t>
            </w:r>
          </w:p>
        </w:tc>
        <w:tc>
          <w:tcPr>
            <w:tcW w:type="dxa" w:w="1368"/>
          </w:tcPr>
          <w:p>
            <w:pPr>
              <w:keepNext/>
              <w:spacing w:after="0"/>
            </w:pPr>
            <w:r>
              <w:rPr>
                <w:rFonts w:ascii="Calibri" w:hAnsi="Calibri"/>
                <w:sz w:val="15"/>
              </w:rPr>
              <w:t>t(74) = 10.88</w:t>
            </w:r>
          </w:p>
        </w:tc>
        <w:tc>
          <w:tcPr>
            <w:tcW w:type="dxa" w:w="720"/>
          </w:tcPr>
          <w:p>
            <w:pPr>
              <w:keepNext/>
              <w:spacing w:after="0"/>
            </w:pPr>
            <w:r>
              <w:rPr>
                <w:rFonts w:ascii="Calibri" w:hAnsi="Calibri"/>
                <w:sz w:val="15"/>
              </w:rPr>
              <w:t>&lt;0.001</w:t>
            </w:r>
          </w:p>
        </w:tc>
        <w:tc>
          <w:tcPr>
            <w:tcW w:type="dxa" w:w="1872"/>
          </w:tcPr>
          <w:p>
            <w:pPr>
              <w:keepNext/>
              <w:spacing w:after="0"/>
            </w:pPr>
            <w:r>
              <w:rPr>
                <w:rFonts w:ascii="Calibri" w:hAnsi="Calibri"/>
                <w:sz w:val="15"/>
              </w:rPr>
              <w:t>+17.1 [14.0, 20.2]</w:t>
            </w:r>
          </w:p>
        </w:tc>
        <w:tc>
          <w:tcPr>
            <w:tcW w:type="dxa" w:w="936"/>
          </w:tcPr>
          <w:p>
            <w:pPr>
              <w:keepNext/>
              <w:spacing w:after="0"/>
            </w:pPr>
            <w:r>
              <w:rPr>
                <w:rFonts w:ascii="Calibri" w:hAnsi="Calibri"/>
                <w:sz w:val="15"/>
              </w:rPr>
              <w:t>Reject H₀</w:t>
            </w:r>
          </w:p>
        </w:tc>
      </w:tr>
      <w:tr>
        <w:tc>
          <w:tcPr>
            <w:tcW w:type="dxa" w:w="504"/>
          </w:tcPr>
          <w:p>
            <w:pPr>
              <w:keepNext/>
              <w:spacing w:after="0"/>
            </w:pPr>
            <w:r>
              <w:rPr>
                <w:rFonts w:ascii="Calibri" w:hAnsi="Calibri"/>
                <w:sz w:val="15"/>
              </w:rPr>
              <w:t>H5</w:t>
            </w:r>
          </w:p>
        </w:tc>
        <w:tc>
          <w:tcPr>
            <w:tcW w:type="dxa" w:w="2880"/>
          </w:tcPr>
          <w:p>
            <w:pPr>
              <w:keepNext/>
              <w:spacing w:after="0"/>
            </w:pPr>
            <w:r>
              <w:rPr>
                <w:rFonts w:ascii="Calibri" w:hAnsi="Calibri"/>
                <w:sz w:val="15"/>
              </w:rPr>
              <w:t>Weekday vs weekend</w:t>
            </w:r>
          </w:p>
        </w:tc>
        <w:tc>
          <w:tcPr>
            <w:tcW w:type="dxa" w:w="1080"/>
          </w:tcPr>
          <w:p>
            <w:pPr>
              <w:keepNext/>
              <w:spacing w:after="0"/>
            </w:pPr>
            <w:r>
              <w:rPr>
                <w:rFonts w:ascii="Calibri" w:hAnsi="Calibri"/>
                <w:sz w:val="15"/>
              </w:rPr>
              <w:t>z (mean diff.)</w:t>
            </w:r>
          </w:p>
        </w:tc>
        <w:tc>
          <w:tcPr>
            <w:tcW w:type="dxa" w:w="648"/>
          </w:tcPr>
          <w:p>
            <w:pPr>
              <w:keepNext/>
              <w:spacing w:after="0"/>
            </w:pPr>
            <w:r>
              <w:rPr>
                <w:rFonts w:ascii="Calibri" w:hAnsi="Calibri"/>
                <w:sz w:val="15"/>
              </w:rPr>
              <w:t>101</w:t>
            </w:r>
          </w:p>
        </w:tc>
        <w:tc>
          <w:tcPr>
            <w:tcW w:type="dxa" w:w="1368"/>
          </w:tcPr>
          <w:p>
            <w:pPr>
              <w:keepNext/>
              <w:spacing w:after="0"/>
            </w:pPr>
            <w:r>
              <w:rPr>
                <w:rFonts w:ascii="Calibri" w:hAnsi="Calibri"/>
                <w:sz w:val="15"/>
              </w:rPr>
              <w:t>z = 4.67</w:t>
            </w:r>
          </w:p>
        </w:tc>
        <w:tc>
          <w:tcPr>
            <w:tcW w:type="dxa" w:w="720"/>
          </w:tcPr>
          <w:p>
            <w:pPr>
              <w:keepNext/>
              <w:spacing w:after="0"/>
            </w:pPr>
            <w:r>
              <w:rPr>
                <w:rFonts w:ascii="Calibri" w:hAnsi="Calibri"/>
                <w:sz w:val="15"/>
              </w:rPr>
              <w:t>&lt;0.001</w:t>
            </w:r>
          </w:p>
        </w:tc>
        <w:tc>
          <w:tcPr>
            <w:tcW w:type="dxa" w:w="1872"/>
          </w:tcPr>
          <w:p>
            <w:pPr>
              <w:keepNext/>
              <w:spacing w:after="0"/>
            </w:pPr>
            <w:r>
              <w:rPr>
                <w:rFonts w:ascii="Calibri" w:hAnsi="Calibri"/>
                <w:sz w:val="15"/>
              </w:rPr>
              <w:t>+2.5 [1.5, 3.6]</w:t>
            </w:r>
          </w:p>
        </w:tc>
        <w:tc>
          <w:tcPr>
            <w:tcW w:type="dxa" w:w="936"/>
          </w:tcPr>
          <w:p>
            <w:pPr>
              <w:keepNext/>
              <w:spacing w:after="0"/>
            </w:pPr>
            <w:r>
              <w:rPr>
                <w:rFonts w:ascii="Calibri" w:hAnsi="Calibri"/>
                <w:sz w:val="15"/>
              </w:rPr>
              <w:t>Reject H₀</w:t>
            </w:r>
          </w:p>
        </w:tc>
      </w:tr>
      <w:tr>
        <w:tc>
          <w:tcPr>
            <w:tcW w:type="dxa" w:w="504"/>
          </w:tcPr>
          <w:p>
            <w:pPr>
              <w:keepNext/>
              <w:spacing w:after="0"/>
            </w:pPr>
            <w:r>
              <w:rPr>
                <w:rFonts w:ascii="Calibri" w:hAnsi="Calibri"/>
                <w:sz w:val="15"/>
              </w:rPr>
              <w:t>H6</w:t>
            </w:r>
          </w:p>
        </w:tc>
        <w:tc>
          <w:tcPr>
            <w:tcW w:type="dxa" w:w="2880"/>
          </w:tcPr>
          <w:p>
            <w:pPr>
              <w:keepNext/>
              <w:spacing w:after="0"/>
            </w:pPr>
            <w:r>
              <w:rPr>
                <w:rFonts w:ascii="Calibri" w:hAnsi="Calibri"/>
                <w:sz w:val="15"/>
              </w:rPr>
              <w:t>Tired vs awake (own median)</w:t>
            </w:r>
          </w:p>
        </w:tc>
        <w:tc>
          <w:tcPr>
            <w:tcW w:type="dxa" w:w="1080"/>
          </w:tcPr>
          <w:p>
            <w:pPr>
              <w:keepNext/>
              <w:spacing w:after="0"/>
            </w:pPr>
            <w:r>
              <w:rPr>
                <w:rFonts w:ascii="Calibri" w:hAnsi="Calibri"/>
                <w:sz w:val="15"/>
              </w:rPr>
              <w:t>Paired t</w:t>
            </w:r>
          </w:p>
        </w:tc>
        <w:tc>
          <w:tcPr>
            <w:tcW w:type="dxa" w:w="648"/>
          </w:tcPr>
          <w:p>
            <w:pPr>
              <w:keepNext/>
              <w:spacing w:after="0"/>
            </w:pPr>
            <w:r>
              <w:rPr>
                <w:rFonts w:ascii="Calibri" w:hAnsi="Calibri"/>
                <w:sz w:val="15"/>
              </w:rPr>
              <w:t>93</w:t>
            </w:r>
          </w:p>
        </w:tc>
        <w:tc>
          <w:tcPr>
            <w:tcW w:type="dxa" w:w="1368"/>
          </w:tcPr>
          <w:p>
            <w:pPr>
              <w:keepNext/>
              <w:spacing w:after="0"/>
            </w:pPr>
            <w:r>
              <w:rPr>
                <w:rFonts w:ascii="Calibri" w:hAnsi="Calibri"/>
                <w:sz w:val="15"/>
              </w:rPr>
              <w:t>t(92) = 3.42</w:t>
            </w:r>
          </w:p>
        </w:tc>
        <w:tc>
          <w:tcPr>
            <w:tcW w:type="dxa" w:w="720"/>
          </w:tcPr>
          <w:p>
            <w:pPr>
              <w:keepNext/>
              <w:spacing w:after="0"/>
            </w:pPr>
            <w:r>
              <w:rPr>
                <w:rFonts w:ascii="Calibri" w:hAnsi="Calibri"/>
                <w:sz w:val="15"/>
              </w:rPr>
              <w:t>&lt;0.001</w:t>
            </w:r>
          </w:p>
        </w:tc>
        <w:tc>
          <w:tcPr>
            <w:tcW w:type="dxa" w:w="1872"/>
          </w:tcPr>
          <w:p>
            <w:pPr>
              <w:keepNext/>
              <w:spacing w:after="0"/>
            </w:pPr>
            <w:r>
              <w:rPr>
                <w:rFonts w:ascii="Calibri" w:hAnsi="Calibri"/>
                <w:sz w:val="15"/>
              </w:rPr>
              <w:t>+4.0 [1.7, 6.3]</w:t>
            </w:r>
          </w:p>
        </w:tc>
        <w:tc>
          <w:tcPr>
            <w:tcW w:type="dxa" w:w="936"/>
          </w:tcPr>
          <w:p>
            <w:pPr>
              <w:keepNext/>
              <w:spacing w:after="0"/>
            </w:pPr>
            <w:r>
              <w:rPr>
                <w:rFonts w:ascii="Calibri" w:hAnsi="Calibri"/>
                <w:sz w:val="15"/>
              </w:rPr>
              <w:t>Reject H₀</w:t>
            </w:r>
          </w:p>
        </w:tc>
      </w:tr>
      <w:tr>
        <w:tc>
          <w:tcPr>
            <w:tcW w:type="dxa" w:w="504"/>
          </w:tcPr>
          <w:p>
            <w:pPr>
              <w:keepNext/>
              <w:spacing w:after="0"/>
            </w:pPr>
            <w:r>
              <w:rPr>
                <w:rFonts w:ascii="Calibri" w:hAnsi="Calibri"/>
                <w:sz w:val="15"/>
              </w:rPr>
              <w:t>H7</w:t>
            </w:r>
          </w:p>
        </w:tc>
        <w:tc>
          <w:tcPr>
            <w:tcW w:type="dxa" w:w="2880"/>
          </w:tcPr>
          <w:p>
            <w:pPr>
              <w:keepNext/>
              <w:spacing w:after="0"/>
            </w:pPr>
            <w:r>
              <w:rPr>
                <w:rFonts w:ascii="Calibri" w:hAnsi="Calibri"/>
                <w:sz w:val="15"/>
              </w:rPr>
              <w:t>Bad vs good mood (own median)</w:t>
            </w:r>
          </w:p>
        </w:tc>
        <w:tc>
          <w:tcPr>
            <w:tcW w:type="dxa" w:w="1080"/>
          </w:tcPr>
          <w:p>
            <w:pPr>
              <w:keepNext/>
              <w:spacing w:after="0"/>
            </w:pPr>
            <w:r>
              <w:rPr>
                <w:rFonts w:ascii="Calibri" w:hAnsi="Calibri"/>
                <w:sz w:val="15"/>
              </w:rPr>
              <w:t>Paired t</w:t>
            </w:r>
          </w:p>
        </w:tc>
        <w:tc>
          <w:tcPr>
            <w:tcW w:type="dxa" w:w="648"/>
          </w:tcPr>
          <w:p>
            <w:pPr>
              <w:keepNext/>
              <w:spacing w:after="0"/>
            </w:pPr>
            <w:r>
              <w:rPr>
                <w:rFonts w:ascii="Calibri" w:hAnsi="Calibri"/>
                <w:sz w:val="15"/>
              </w:rPr>
              <w:t>90</w:t>
            </w:r>
          </w:p>
        </w:tc>
        <w:tc>
          <w:tcPr>
            <w:tcW w:type="dxa" w:w="1368"/>
          </w:tcPr>
          <w:p>
            <w:pPr>
              <w:keepNext/>
              <w:spacing w:after="0"/>
            </w:pPr>
            <w:r>
              <w:rPr>
                <w:rFonts w:ascii="Calibri" w:hAnsi="Calibri"/>
                <w:sz w:val="15"/>
              </w:rPr>
              <w:t>t(89) = 7.92</w:t>
            </w:r>
          </w:p>
        </w:tc>
        <w:tc>
          <w:tcPr>
            <w:tcW w:type="dxa" w:w="720"/>
          </w:tcPr>
          <w:p>
            <w:pPr>
              <w:keepNext/>
              <w:spacing w:after="0"/>
            </w:pPr>
            <w:r>
              <w:rPr>
                <w:rFonts w:ascii="Calibri" w:hAnsi="Calibri"/>
                <w:sz w:val="15"/>
              </w:rPr>
              <w:t>&lt;0.001</w:t>
            </w:r>
          </w:p>
        </w:tc>
        <w:tc>
          <w:tcPr>
            <w:tcW w:type="dxa" w:w="1872"/>
          </w:tcPr>
          <w:p>
            <w:pPr>
              <w:keepNext/>
              <w:spacing w:after="0"/>
            </w:pPr>
            <w:r>
              <w:rPr>
                <w:rFonts w:ascii="Calibri" w:hAnsi="Calibri"/>
                <w:sz w:val="15"/>
              </w:rPr>
              <w:t>+8.8 [6.6, 11.0]</w:t>
            </w:r>
          </w:p>
        </w:tc>
        <w:tc>
          <w:tcPr>
            <w:tcW w:type="dxa" w:w="936"/>
          </w:tcPr>
          <w:p>
            <w:pPr>
              <w:keepNext/>
              <w:spacing w:after="0"/>
            </w:pPr>
            <w:r>
              <w:rPr>
                <w:rFonts w:ascii="Calibri" w:hAnsi="Calibri"/>
                <w:sz w:val="15"/>
              </w:rPr>
              <w:t>Reject H₀</w:t>
            </w:r>
          </w:p>
        </w:tc>
      </w:tr>
      <w:tr>
        <w:tc>
          <w:tcPr>
            <w:tcW w:type="dxa" w:w="504"/>
          </w:tcPr>
          <w:p>
            <w:pPr>
              <w:keepNext/>
              <w:spacing w:after="0"/>
            </w:pPr>
            <w:r>
              <w:rPr>
                <w:rFonts w:ascii="Calibri" w:hAnsi="Calibri"/>
                <w:sz w:val="15"/>
              </w:rPr>
              <w:t>H8</w:t>
            </w:r>
          </w:p>
        </w:tc>
        <w:tc>
          <w:tcPr>
            <w:tcW w:type="dxa" w:w="2880"/>
          </w:tcPr>
          <w:p>
            <w:pPr>
              <w:keepNext/>
              <w:spacing w:after="0"/>
            </w:pPr>
            <w:r>
              <w:rPr>
                <w:rFonts w:ascii="Calibri" w:hAnsi="Calibri"/>
                <w:sz w:val="15"/>
              </w:rPr>
              <w:t>% above-median stress: GAD-7 ≥ 10 vs &lt; 10</w:t>
            </w:r>
          </w:p>
        </w:tc>
        <w:tc>
          <w:tcPr>
            <w:tcW w:type="dxa" w:w="1080"/>
          </w:tcPr>
          <w:p>
            <w:pPr>
              <w:keepNext/>
              <w:spacing w:after="0"/>
            </w:pPr>
            <w:r>
              <w:rPr>
                <w:rFonts w:ascii="Calibri" w:hAnsi="Calibri"/>
                <w:sz w:val="15"/>
              </w:rPr>
              <w:t>Two-prop. z</w:t>
            </w:r>
          </w:p>
        </w:tc>
        <w:tc>
          <w:tcPr>
            <w:tcW w:type="dxa" w:w="648"/>
          </w:tcPr>
          <w:p>
            <w:pPr>
              <w:keepNext/>
              <w:spacing w:after="0"/>
            </w:pPr>
            <w:r>
              <w:rPr>
                <w:rFonts w:ascii="Calibri" w:hAnsi="Calibri"/>
                <w:sz w:val="15"/>
              </w:rPr>
              <w:t>29/74</w:t>
            </w:r>
          </w:p>
        </w:tc>
        <w:tc>
          <w:tcPr>
            <w:tcW w:type="dxa" w:w="1368"/>
          </w:tcPr>
          <w:p>
            <w:pPr>
              <w:keepNext/>
              <w:spacing w:after="0"/>
            </w:pPr>
            <w:r>
              <w:rPr>
                <w:rFonts w:ascii="Calibri" w:hAnsi="Calibri"/>
                <w:sz w:val="15"/>
              </w:rPr>
              <w:t>z = 3.79</w:t>
            </w:r>
          </w:p>
        </w:tc>
        <w:tc>
          <w:tcPr>
            <w:tcW w:type="dxa" w:w="720"/>
          </w:tcPr>
          <w:p>
            <w:pPr>
              <w:keepNext/>
              <w:spacing w:after="0"/>
            </w:pPr>
            <w:r>
              <w:rPr>
                <w:rFonts w:ascii="Calibri" w:hAnsi="Calibri"/>
                <w:sz w:val="15"/>
              </w:rPr>
              <w:t>&lt;0.001</w:t>
            </w:r>
          </w:p>
        </w:tc>
        <w:tc>
          <w:tcPr>
            <w:tcW w:type="dxa" w:w="1872"/>
          </w:tcPr>
          <w:p>
            <w:pPr>
              <w:keepNext/>
              <w:spacing w:after="0"/>
            </w:pPr>
            <w:r>
              <w:rPr>
                <w:rFonts w:ascii="Calibri" w:hAnsi="Calibri"/>
                <w:sz w:val="15"/>
              </w:rPr>
              <w:t>79% vs 38% [+23, +60 pp]</w:t>
            </w:r>
          </w:p>
        </w:tc>
        <w:tc>
          <w:tcPr>
            <w:tcW w:type="dxa" w:w="936"/>
          </w:tcPr>
          <w:p>
            <w:pPr>
              <w:keepNext/>
              <w:spacing w:after="0"/>
            </w:pPr>
            <w:r>
              <w:rPr>
                <w:rFonts w:ascii="Calibri" w:hAnsi="Calibri"/>
                <w:sz w:val="15"/>
              </w:rPr>
              <w:t>Reject H₀</w:t>
            </w:r>
          </w:p>
        </w:tc>
      </w:tr>
      <w:tr>
        <w:tc>
          <w:tcPr>
            <w:tcW w:type="dxa" w:w="504"/>
          </w:tcPr>
          <w:p>
            <w:pPr>
              <w:keepNext/>
              <w:spacing w:after="0"/>
            </w:pPr>
            <w:r>
              <w:rPr>
                <w:rFonts w:ascii="Calibri" w:hAnsi="Calibri"/>
                <w:sz w:val="15"/>
              </w:rPr>
              <w:t>H9</w:t>
            </w:r>
          </w:p>
        </w:tc>
        <w:tc>
          <w:tcPr>
            <w:tcW w:type="dxa" w:w="2880"/>
          </w:tcPr>
          <w:p>
            <w:pPr>
              <w:keepNext/>
              <w:spacing w:after="0"/>
            </w:pPr>
            <w:r>
              <w:rPr>
                <w:rFonts w:ascii="Calibri" w:hAnsi="Calibri"/>
                <w:sz w:val="15"/>
              </w:rPr>
              <w:t>PHQ-9 ≥ 10 × stress third</w:t>
            </w:r>
          </w:p>
        </w:tc>
        <w:tc>
          <w:tcPr>
            <w:tcW w:type="dxa" w:w="1080"/>
          </w:tcPr>
          <w:p>
            <w:pPr>
              <w:keepNext/>
              <w:spacing w:after="0"/>
            </w:pPr>
            <w:r>
              <w:rPr>
                <w:rFonts w:ascii="Calibri" w:hAnsi="Calibri"/>
                <w:sz w:val="15"/>
              </w:rPr>
              <w:t>Chi-square</w:t>
            </w:r>
          </w:p>
        </w:tc>
        <w:tc>
          <w:tcPr>
            <w:tcW w:type="dxa" w:w="648"/>
          </w:tcPr>
          <w:p>
            <w:pPr>
              <w:keepNext/>
              <w:spacing w:after="0"/>
            </w:pPr>
            <w:r>
              <w:rPr>
                <w:rFonts w:ascii="Calibri" w:hAnsi="Calibri"/>
                <w:sz w:val="15"/>
              </w:rPr>
              <w:t>103</w:t>
            </w:r>
          </w:p>
        </w:tc>
        <w:tc>
          <w:tcPr>
            <w:tcW w:type="dxa" w:w="1368"/>
          </w:tcPr>
          <w:p>
            <w:pPr>
              <w:keepNext/>
              <w:spacing w:after="0"/>
            </w:pPr>
            <w:r>
              <w:rPr>
                <w:rFonts w:ascii="Calibri" w:hAnsi="Calibri"/>
                <w:sz w:val="15"/>
              </w:rPr>
              <w:t>χ²(2) = 11.53</w:t>
            </w:r>
          </w:p>
        </w:tc>
        <w:tc>
          <w:tcPr>
            <w:tcW w:type="dxa" w:w="720"/>
          </w:tcPr>
          <w:p>
            <w:pPr>
              <w:keepNext/>
              <w:spacing w:after="0"/>
            </w:pPr>
            <w:r>
              <w:rPr>
                <w:rFonts w:ascii="Calibri" w:hAnsi="Calibri"/>
                <w:sz w:val="15"/>
              </w:rPr>
              <w:t>0.003</w:t>
            </w:r>
          </w:p>
        </w:tc>
        <w:tc>
          <w:tcPr>
            <w:tcW w:type="dxa" w:w="1872"/>
          </w:tcPr>
          <w:p>
            <w:pPr>
              <w:keepNext/>
              <w:spacing w:after="0"/>
            </w:pPr>
            <w:r>
              <w:rPr>
                <w:rFonts w:ascii="Calibri" w:hAnsi="Calibri"/>
                <w:sz w:val="15"/>
              </w:rPr>
              <w:t>Cramér’s V = 0.33</w:t>
            </w:r>
          </w:p>
        </w:tc>
        <w:tc>
          <w:tcPr>
            <w:tcW w:type="dxa" w:w="936"/>
          </w:tcPr>
          <w:p>
            <w:pPr>
              <w:keepNext/>
              <w:spacing w:after="0"/>
            </w:pPr>
            <w:r>
              <w:rPr>
                <w:rFonts w:ascii="Calibri" w:hAnsi="Calibri"/>
                <w:sz w:val="15"/>
              </w:rPr>
              <w:t>Reject H₀</w:t>
            </w:r>
          </w:p>
        </w:tc>
      </w:tr>
      <w:tr>
        <w:tc>
          <w:tcPr>
            <w:tcW w:type="dxa" w:w="504"/>
          </w:tcPr>
          <w:p>
            <w:pPr>
              <w:keepNext/>
              <w:spacing w:after="0"/>
            </w:pPr>
            <w:r>
              <w:rPr>
                <w:rFonts w:ascii="Calibri" w:hAnsi="Calibri"/>
                <w:sz w:val="15"/>
              </w:rPr>
              <w:t>H10</w:t>
            </w:r>
          </w:p>
        </w:tc>
        <w:tc>
          <w:tcPr>
            <w:tcW w:type="dxa" w:w="2880"/>
          </w:tcPr>
          <w:p>
            <w:pPr>
              <w:keepNext/>
              <w:spacing w:after="0"/>
            </w:pPr>
            <w:r>
              <w:rPr>
                <w:rFonts w:ascii="Calibri" w:hAnsi="Calibri"/>
                <w:sz w:val="15"/>
              </w:rPr>
              <w:t>Resilience (BRS) &lt; 3 vs ≥ 3</w:t>
            </w:r>
          </w:p>
        </w:tc>
        <w:tc>
          <w:tcPr>
            <w:tcW w:type="dxa" w:w="1080"/>
          </w:tcPr>
          <w:p>
            <w:pPr>
              <w:keepNext/>
              <w:spacing w:after="0"/>
            </w:pPr>
            <w:r>
              <w:rPr>
                <w:rFonts w:ascii="Calibri" w:hAnsi="Calibri"/>
                <w:sz w:val="15"/>
              </w:rPr>
              <w:t>Welch t</w:t>
            </w:r>
          </w:p>
        </w:tc>
        <w:tc>
          <w:tcPr>
            <w:tcW w:type="dxa" w:w="648"/>
          </w:tcPr>
          <w:p>
            <w:pPr>
              <w:keepNext/>
              <w:spacing w:after="0"/>
            </w:pPr>
            <w:r>
              <w:rPr>
                <w:rFonts w:ascii="Calibri" w:hAnsi="Calibri"/>
                <w:sz w:val="15"/>
              </w:rPr>
              <w:t>27/76</w:t>
            </w:r>
          </w:p>
        </w:tc>
        <w:tc>
          <w:tcPr>
            <w:tcW w:type="dxa" w:w="1368"/>
          </w:tcPr>
          <w:p>
            <w:pPr>
              <w:keepNext/>
              <w:spacing w:after="0"/>
            </w:pPr>
            <w:r>
              <w:rPr>
                <w:rFonts w:ascii="Calibri" w:hAnsi="Calibri"/>
                <w:sz w:val="15"/>
              </w:rPr>
              <w:t>t(38.1) = 2.69</w:t>
            </w:r>
          </w:p>
        </w:tc>
        <w:tc>
          <w:tcPr>
            <w:tcW w:type="dxa" w:w="720"/>
          </w:tcPr>
          <w:p>
            <w:pPr>
              <w:keepNext/>
              <w:spacing w:after="0"/>
            </w:pPr>
            <w:r>
              <w:rPr>
                <w:rFonts w:ascii="Calibri" w:hAnsi="Calibri"/>
                <w:sz w:val="15"/>
              </w:rPr>
              <w:t>0.011</w:t>
            </w:r>
          </w:p>
        </w:tc>
        <w:tc>
          <w:tcPr>
            <w:tcW w:type="dxa" w:w="1872"/>
          </w:tcPr>
          <w:p>
            <w:pPr>
              <w:keepNext/>
              <w:spacing w:after="0"/>
            </w:pPr>
            <w:r>
              <w:rPr>
                <w:rFonts w:ascii="Calibri" w:hAnsi="Calibri"/>
                <w:sz w:val="15"/>
              </w:rPr>
              <w:t>+10.8 [2.7, 19.0]</w:t>
            </w:r>
          </w:p>
        </w:tc>
        <w:tc>
          <w:tcPr>
            <w:tcW w:type="dxa" w:w="936"/>
          </w:tcPr>
          <w:p>
            <w:pPr>
              <w:keepNext/>
              <w:spacing w:after="0"/>
            </w:pPr>
            <w:r>
              <w:rPr>
                <w:rFonts w:ascii="Calibri" w:hAnsi="Calibri"/>
                <w:sz w:val="15"/>
              </w:rPr>
              <w:t>Reject H₀</w:t>
            </w:r>
          </w:p>
        </w:tc>
      </w:tr>
      <w:tr>
        <w:tc>
          <w:tcPr>
            <w:tcW w:type="dxa" w:w="504"/>
          </w:tcPr>
          <w:p>
            <w:pPr>
              <w:keepNext/>
              <w:spacing w:after="0"/>
            </w:pPr>
            <w:r>
              <w:rPr>
                <w:rFonts w:ascii="Calibri" w:hAnsi="Calibri"/>
                <w:sz w:val="15"/>
              </w:rPr>
              <w:t>H11</w:t>
            </w:r>
          </w:p>
        </w:tc>
        <w:tc>
          <w:tcPr>
            <w:tcW w:type="dxa" w:w="2880"/>
          </w:tcPr>
          <w:p>
            <w:pPr>
              <w:keepNext/>
              <w:spacing w:after="0"/>
            </w:pPr>
            <w:r>
              <w:rPr>
                <w:rFonts w:ascii="Calibri" w:hAnsi="Calibri"/>
                <w:sz w:val="15"/>
              </w:rPr>
              <w:t>Mental-health satisfaction (3 groups)</w:t>
            </w:r>
          </w:p>
        </w:tc>
        <w:tc>
          <w:tcPr>
            <w:tcW w:type="dxa" w:w="1080"/>
          </w:tcPr>
          <w:p>
            <w:pPr>
              <w:keepNext/>
              <w:spacing w:after="0"/>
            </w:pPr>
            <w:r>
              <w:rPr>
                <w:rFonts w:ascii="Calibri" w:hAnsi="Calibri"/>
                <w:sz w:val="15"/>
              </w:rPr>
              <w:t>ANOVA</w:t>
            </w:r>
          </w:p>
        </w:tc>
        <w:tc>
          <w:tcPr>
            <w:tcW w:type="dxa" w:w="648"/>
          </w:tcPr>
          <w:p>
            <w:pPr>
              <w:keepNext/>
              <w:spacing w:after="0"/>
            </w:pPr>
            <w:r>
              <w:rPr>
                <w:rFonts w:ascii="Calibri" w:hAnsi="Calibri"/>
                <w:sz w:val="15"/>
              </w:rPr>
              <w:t>103</w:t>
            </w:r>
          </w:p>
        </w:tc>
        <w:tc>
          <w:tcPr>
            <w:tcW w:type="dxa" w:w="1368"/>
          </w:tcPr>
          <w:p>
            <w:pPr>
              <w:keepNext/>
              <w:spacing w:after="0"/>
            </w:pPr>
            <w:r>
              <w:rPr>
                <w:rFonts w:ascii="Calibri" w:hAnsi="Calibri"/>
                <w:sz w:val="15"/>
              </w:rPr>
              <w:t>F(2,100) = 3.76</w:t>
            </w:r>
          </w:p>
        </w:tc>
        <w:tc>
          <w:tcPr>
            <w:tcW w:type="dxa" w:w="720"/>
          </w:tcPr>
          <w:p>
            <w:pPr>
              <w:keepNext/>
              <w:spacing w:after="0"/>
            </w:pPr>
            <w:r>
              <w:rPr>
                <w:rFonts w:ascii="Calibri" w:hAnsi="Calibri"/>
                <w:sz w:val="15"/>
              </w:rPr>
              <w:t>0.027</w:t>
            </w:r>
          </w:p>
        </w:tc>
        <w:tc>
          <w:tcPr>
            <w:tcW w:type="dxa" w:w="1872"/>
          </w:tcPr>
          <w:p>
            <w:pPr>
              <w:keepNext/>
              <w:spacing w:after="0"/>
            </w:pPr>
            <w:r>
              <w:rPr>
                <w:rFonts w:ascii="Calibri" w:hAnsi="Calibri"/>
                <w:sz w:val="15"/>
              </w:rPr>
              <w:t>η² = 0.07</w:t>
            </w:r>
          </w:p>
        </w:tc>
        <w:tc>
          <w:tcPr>
            <w:tcW w:type="dxa" w:w="936"/>
          </w:tcPr>
          <w:p>
            <w:pPr>
              <w:keepNext/>
              <w:spacing w:after="0"/>
            </w:pPr>
            <w:r>
              <w:rPr>
                <w:rFonts w:ascii="Calibri" w:hAnsi="Calibri"/>
                <w:sz w:val="15"/>
              </w:rPr>
              <w:t>Reject H₀</w:t>
            </w:r>
          </w:p>
        </w:tc>
      </w:tr>
      <w:tr>
        <w:tc>
          <w:tcPr>
            <w:tcW w:type="dxa" w:w="504"/>
          </w:tcPr>
          <w:p>
            <w:pPr>
              <w:spacing w:after="0"/>
            </w:pPr>
            <w:r>
              <w:rPr>
                <w:rFonts w:ascii="Calibri" w:hAnsi="Calibri"/>
                <w:sz w:val="15"/>
              </w:rPr>
              <w:t>H12</w:t>
            </w:r>
          </w:p>
        </w:tc>
        <w:tc>
          <w:tcPr>
            <w:tcW w:type="dxa" w:w="2880"/>
          </w:tcPr>
          <w:p>
            <w:pPr>
              <w:spacing w:after="0"/>
            </w:pPr>
            <w:r>
              <w:rPr>
                <w:rFonts w:ascii="Calibri" w:hAnsi="Calibri"/>
                <w:sz w:val="15"/>
              </w:rPr>
              <w:t>General negative affect (3 groups)</w:t>
            </w:r>
          </w:p>
        </w:tc>
        <w:tc>
          <w:tcPr>
            <w:tcW w:type="dxa" w:w="1080"/>
          </w:tcPr>
          <w:p>
            <w:pPr>
              <w:spacing w:after="0"/>
            </w:pPr>
            <w:r>
              <w:rPr>
                <w:rFonts w:ascii="Calibri" w:hAnsi="Calibri"/>
                <w:sz w:val="15"/>
              </w:rPr>
              <w:t>ANOVA</w:t>
            </w:r>
          </w:p>
        </w:tc>
        <w:tc>
          <w:tcPr>
            <w:tcW w:type="dxa" w:w="648"/>
          </w:tcPr>
          <w:p>
            <w:pPr>
              <w:spacing w:after="0"/>
            </w:pPr>
            <w:r>
              <w:rPr>
                <w:rFonts w:ascii="Calibri" w:hAnsi="Calibri"/>
                <w:sz w:val="15"/>
              </w:rPr>
              <w:t>103</w:t>
            </w:r>
          </w:p>
        </w:tc>
        <w:tc>
          <w:tcPr>
            <w:tcW w:type="dxa" w:w="1368"/>
          </w:tcPr>
          <w:p>
            <w:pPr>
              <w:spacing w:after="0"/>
            </w:pPr>
            <w:r>
              <w:rPr>
                <w:rFonts w:ascii="Calibri" w:hAnsi="Calibri"/>
                <w:sz w:val="15"/>
              </w:rPr>
              <w:t>F(2,100) = 4.51</w:t>
            </w:r>
          </w:p>
        </w:tc>
        <w:tc>
          <w:tcPr>
            <w:tcW w:type="dxa" w:w="720"/>
          </w:tcPr>
          <w:p>
            <w:pPr>
              <w:spacing w:after="0"/>
            </w:pPr>
            <w:r>
              <w:rPr>
                <w:rFonts w:ascii="Calibri" w:hAnsi="Calibri"/>
                <w:sz w:val="15"/>
              </w:rPr>
              <w:t>0.013</w:t>
            </w:r>
          </w:p>
        </w:tc>
        <w:tc>
          <w:tcPr>
            <w:tcW w:type="dxa" w:w="1872"/>
          </w:tcPr>
          <w:p>
            <w:pPr>
              <w:spacing w:after="0"/>
            </w:pPr>
            <w:r>
              <w:rPr>
                <w:rFonts w:ascii="Calibri" w:hAnsi="Calibri"/>
                <w:sz w:val="15"/>
              </w:rPr>
              <w:t>η² = 0.08</w:t>
            </w:r>
          </w:p>
        </w:tc>
        <w:tc>
          <w:tcPr>
            <w:tcW w:type="dxa" w:w="936"/>
          </w:tcPr>
          <w:p>
            <w:pPr>
              <w:spacing w:after="0"/>
            </w:pPr>
            <w:r>
              <w:rPr>
                <w:rFonts w:ascii="Calibri" w:hAnsi="Calibri"/>
                <w:sz w:val="15"/>
              </w:rPr>
              <w:t>Reject H₀</w:t>
            </w:r>
          </w:p>
        </w:tc>
      </w:tr>
    </w:tbl>
    <w:p>
      <w:pPr>
        <w:spacing w:after="120"/>
        <w:jc w:val="center"/>
      </w:pPr>
      <w:r>
        <w:rPr>
          <w:i/>
          <w:sz w:val="18"/>
        </w:rPr>
        <w:t>Table 3. Results of the 12 tests. Effects are mean differences in stress points (higher-stress condition minus other) unless a unit is given; pp = percentage points; 95% CI from the t or z distribution.</w:t>
      </w:r>
    </w:p>
    <w:p>
      <w:pPr>
        <w:spacing w:after="80"/>
      </w:pPr>
      <w:r>
        <w:rPr>
          <w:b/>
        </w:rPr>
        <w:t xml:space="preserve">Decision: </w:t>
      </w:r>
      <w:r>
        <w:rPr>
          <w:i w:val="0"/>
        </w:rPr>
        <w:t>all 12 tests give p &lt; 0.05, so H₀ is rejected for each.</w:t>
      </w:r>
    </w:p>
    <w:p>
      <w:pPr>
        <w:spacing w:after="80"/>
      </w:pPr>
      <w:r>
        <w:rPr>
          <w:b/>
        </w:rPr>
        <w:t xml:space="preserve">Conclusion in context: </w:t>
      </w:r>
      <w:r>
        <w:rPr>
          <w:i w:val="0"/>
        </w:rPr>
        <w:t>the strongest effects are emotional. After an unpleasant event, a person’s stress is 17.1 points higher than when nothing happened, and in bad-mood moments it is 8.8 points higher. Routine also matters: weekdays add 2.5 points and tiredness 4.0. Between people, 79% of those with anxiety symptoms have above-median stress against 38% without; depression symptoms are moderately associated with stress level (V = 0.33); low resilience adds 10.8 points; and stress is highest among people dissatisfied with their mental health or high in negative feelings (each explains about 7–8% of the variance). Phone sensors show small shifts in the hour before high-stress reports: slightly more screen use, more time in a vehicle and less time sitting still, which together suggest people are more on the move before they feel stressed. All results are associations, not causes.</w:t>
      </w:r>
    </w:p>
    <w:p>
      <w:pPr>
        <w:spacing w:after="40"/>
        <w:jc w:val="center"/>
      </w:pPr>
      <w:r>
        <w:drawing>
          <wp:inline xmlns:a="http://schemas.openxmlformats.org/drawingml/2006/main" xmlns:pic="http://schemas.openxmlformats.org/drawingml/2006/picture">
            <wp:extent cx="4389120" cy="2363372"/>
            <wp:docPr id="3" name="Picture 3"/>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4389120" cy="2363372"/>
                    </a:xfrm>
                    <a:prstGeom prst="rect"/>
                  </pic:spPr>
                </pic:pic>
              </a:graphicData>
            </a:graphic>
          </wp:inline>
        </w:drawing>
      </w:r>
    </w:p>
    <w:p>
      <w:pPr>
        <w:spacing w:after="120"/>
        <w:jc w:val="center"/>
      </w:pPr>
      <w:r>
        <w:rPr>
          <w:i/>
          <w:sz w:val="18"/>
        </w:rPr>
        <w:t>Figure 3. All 12 hypotheses together: strength of evidence, −log10(p); bars past the red line have p &lt; 0.05. A chart for each test is in results/hypotheses of the project folder.</w:t>
      </w:r>
    </w:p>
    <w:p>
      <w:pPr>
        <w:pStyle w:val="Heading1"/>
      </w:pPr>
      <w:r>
        <w:t>5. Findings and Conclusions</w:t>
      </w:r>
    </w:p>
    <w:p>
      <w:pPr>
        <w:pStyle w:val="Heading2"/>
      </w:pPr>
      <w:r>
        <w:t>5.1 Major findings</w:t>
      </w:r>
    </w:p>
    <w:p>
      <w:pPr>
        <w:spacing w:after="60"/>
      </w:pPr>
      <w:r>
        <w:rPr>
          <w:b/>
        </w:rPr>
        <w:t xml:space="preserve">1. </w:t>
      </w:r>
      <w:r>
        <w:rPr>
          <w:i w:val="0"/>
        </w:rPr>
        <w:t>Emotional context drives momentary stress most: stress is 17.1 points higher after an unpleasant event and 8.8 points higher in bad-mood moments.</w:t>
      </w:r>
    </w:p>
    <w:p>
      <w:pPr>
        <w:spacing w:after="60"/>
      </w:pPr>
      <w:r>
        <w:rPr>
          <w:b/>
        </w:rPr>
        <w:t xml:space="preserve">2. </w:t>
      </w:r>
      <w:r>
        <w:rPr>
          <w:i w:val="0"/>
        </w:rPr>
        <w:t>Stress follows the daily and weekly routine: it peaks around midday (36.4 at 13:00 vs 31.4 at 22:00), is 2.5 points higher on weekdays and 4.0 points higher when people feel tired.</w:t>
      </w:r>
    </w:p>
    <w:p>
      <w:pPr>
        <w:spacing w:after="60"/>
      </w:pPr>
      <w:r>
        <w:rPr>
          <w:b/>
        </w:rPr>
        <w:t xml:space="preserve">3. </w:t>
      </w:r>
      <w:r>
        <w:rPr>
          <w:i w:val="0"/>
        </w:rPr>
        <w:t>Mental-health traits set the baseline: 79% of people with anxiety symptoms are in the more-stressed half (vs 38%), and depression symptoms, low resilience and poor satisfaction with mental health show the same pattern.</w:t>
      </w:r>
    </w:p>
    <w:p>
      <w:pPr>
        <w:spacing w:after="60"/>
      </w:pPr>
      <w:r>
        <w:rPr>
          <w:b/>
        </w:rPr>
        <w:t xml:space="preserve">4. </w:t>
      </w:r>
      <w:r>
        <w:rPr>
          <w:i w:val="0"/>
        </w:rPr>
        <w:t>Passive phone data pick up small changes before high stress (more screen use, more travel, less time still): useful as support for stress detection, not enough on their own.</w:t>
      </w:r>
    </w:p>
    <w:p>
      <w:pPr>
        <w:pStyle w:val="Heading2"/>
      </w:pPr>
      <w:r>
        <w:t>5.2 Conclusion</w:t>
      </w:r>
    </w:p>
    <w:p>
      <w:pPr>
        <w:spacing w:after="80"/>
      </w:pPr>
      <w:r>
        <w:rPr>
          <w:i w:val="0"/>
        </w:rPr>
        <w:t>The project set out to find which factors are associated with stress in everyday life. EDA showed a skewed stress scale, large differences between people and a midday peak, which led us to compare each person with themselves wherever possible. Using t-tests, z-tests, chi-square and ANOVA, all twelve hypotheses were supported at α = 0.05. Stress rises with unpleasant events, bad mood, tiredness and weekdays, and it is higher on average in people with anxiety, depression symptoms or low resilience. Smartphone sensors add a weaker signal. Income (ANOVA, p = 0.30), gender (t-test, p = 0.26) and employment (t-test, p = 0.65) showed no difference. The findings describe associations in this sample and do not establish causes.</w:t>
      </w:r>
    </w:p>
    <w:p>
      <w:pPr>
        <w:pStyle w:val="Heading2"/>
      </w:pPr>
      <w:r>
        <w:t>5.3 Limitations and future scope</w:t>
      </w:r>
    </w:p>
    <w:p>
      <w:pPr>
        <w:spacing w:after="80"/>
      </w:pPr>
      <w:r>
        <w:rPr>
          <w:b/>
        </w:rPr>
        <w:t xml:space="preserve">Limitations: </w:t>
      </w:r>
      <w:r>
        <w:rPr>
          <w:i w:val="0"/>
        </w:rPr>
        <w:t>103 Spanish adults over four weeks in late 2021, during the pandemic, so results may not generalise. The design is observational and the direction of effects is unknown. Twelve tests were run; with a stricter Bonferroni threshold (0.05/12 = 0.004) only H4–H9 remain significant, so the sensor results and H10–H12 need confirmation. Hourly sensor windows are coarse, the median split discards part of the 0–100 scale, and several hypotheses were chosen after exploring the data.</w:t>
      </w:r>
    </w:p>
    <w:p>
      <w:pPr>
        <w:spacing w:after="80"/>
      </w:pPr>
      <w:r>
        <w:rPr>
          <w:b/>
        </w:rPr>
        <w:t xml:space="preserve">Future scope: </w:t>
      </w:r>
      <w:r>
        <w:rPr>
          <w:i w:val="0"/>
        </w:rPr>
        <w:t>repeat the tests on a new sample, and use regression on the full stress scale to see which factors still matter when they are considered together.</w:t>
      </w:r>
    </w:p>
    <w:p>
      <w:pPr>
        <w:pStyle w:val="Heading1"/>
      </w:pPr>
      <w:r>
        <w:t>References / Dataset Citation</w:t>
      </w:r>
    </w:p>
    <w:p>
      <w:pPr>
        <w:spacing w:after="20"/>
        <w:ind w:left="432" w:hanging="432"/>
      </w:pPr>
      <w:r>
        <w:rPr>
          <w:i w:val="0"/>
          <w:sz w:val="17"/>
        </w:rPr>
        <w:t>Banos, O., Bailon, C., Damas, M., Goicoechea, C., Perakakis, P., Pomares, H., Rodriguez-Leon, C., Sanabria, D., &amp; Villalonga, C. (2022). MobileWell100+: A multivariate longitudinal mobile dataset for investigating individual and collective well-being (Version 2) [Dataset]. Zenodo. https://doi.org/10.5281/zenodo.10975463. Accessed: [DD Month YYYY].</w:t>
      </w:r>
    </w:p>
    <w:p>
      <w:pPr>
        <w:spacing w:after="20"/>
        <w:ind w:left="432" w:hanging="432"/>
      </w:pPr>
      <w:r>
        <w:rPr>
          <w:i w:val="0"/>
          <w:sz w:val="17"/>
        </w:rPr>
        <w:t>Kroenke, K., Spitzer, R. L., &amp; Williams, J. B. W. (2001). The PHQ-9: Validity of a brief depression severity measure. Journal of General Internal Medicine, 16(9), 606–613.</w:t>
      </w:r>
    </w:p>
    <w:p>
      <w:pPr>
        <w:spacing w:after="20"/>
        <w:ind w:left="432" w:hanging="432"/>
      </w:pPr>
      <w:r>
        <w:rPr>
          <w:i w:val="0"/>
          <w:sz w:val="17"/>
        </w:rPr>
        <w:t>Smith, B. W., Dalen, J., Wiggins, K., Tooley, E., Christopher, P., &amp; Bernard, J. (2008). The brief resilience scale: Assessing the ability to bounce back. International Journal of Behavioral Medicine, 15(3), 194–200.</w:t>
      </w:r>
    </w:p>
    <w:p>
      <w:pPr>
        <w:spacing w:after="20"/>
        <w:ind w:left="432" w:hanging="432"/>
      </w:pPr>
      <w:r>
        <w:rPr>
          <w:i w:val="0"/>
          <w:sz w:val="17"/>
        </w:rPr>
        <w:t>Spitzer, R. L., Kroenke, K., Williams, J. B. W., &amp; Löwe, B. (2006). A brief measure for assessing generalized anxiety disorder: The GAD-7. Archives of Internal Medicine, 166(10), 1092–1097.</w:t>
      </w:r>
    </w:p>
    <w:p>
      <w:pPr>
        <w:spacing w:after="20"/>
        <w:ind w:left="432" w:hanging="432"/>
      </w:pPr>
      <w:r>
        <w:rPr>
          <w:i w:val="0"/>
          <w:sz w:val="17"/>
        </w:rPr>
        <w:t>Thompson, E. R. (2007). Development and validation of an internationally reliable short-form of the Positive and Negative Affect Schedule (PANAS). Journal of Cross-Cultural Psychology, 38(2), 227–242.</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Project Report  |  Page </w:t>
    </w:r>
    <w:fldChar w:fldCharType="begin"/>
    <w:instrText xml:space="preserve"> PAGE </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