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H2: More time in a vehicle before high stress</w:t>
      </w:r>
    </w:p>
    <w:p>
      <w:pPr>
        <w:pStyle w:val="Heading1"/>
      </w:pPr>
      <w:r>
        <w:t>1. Hypotheses</w:t>
      </w:r>
    </w:p>
    <w:p>
      <w:r>
        <w:t>H₀: The mean % of time spent in a vehicle in the hour before a report is the same for high-stress and low-stress reports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activity_hourly.csv (% of activity records IN_VEHICLE in the hour before each report) + daily_survey.csv.</w:t>
      </w:r>
    </w:p>
    <w:p>
      <w:r>
        <w:t>Each participant is compared with themselves; only participants with at least 3 reports in each situation are included.</w:t>
      </w:r>
    </w:p>
    <w:p>
      <w:r>
        <w:t>A report is ‘High stress’ if it is above that person’s own median stress and ‘Low stress’ if below. Phone data come from the full clock hour before the report.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'Low stress' and 'High stress'.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Low stress</w:t>
            </w:r>
          </w:p>
        </w:tc>
        <w:tc>
          <w:tcPr>
            <w:tcW w:type="dxa" w:w="2880"/>
          </w:tcPr>
          <w:p>
            <w:r>
              <w:t>High stress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6.53</w:t>
            </w:r>
          </w:p>
        </w:tc>
        <w:tc>
          <w:tcPr>
            <w:tcW w:type="dxa" w:w="2880"/>
          </w:tcPr>
          <w:p>
            <w:r>
              <w:t>7.75</w:t>
            </w:r>
          </w:p>
        </w:tc>
      </w:tr>
    </w:tbl>
    <w:p/>
    <w:p>
      <w:r>
        <w:t>Step 2 – Difference for each person: d = (High stress) − (Low stress).</w:t>
      </w:r>
    </w:p>
    <w:p>
      <w:pPr>
        <w:ind w:left="576"/>
      </w:pPr>
      <w:r>
        <w:rPr>
          <w:rFonts w:ascii="Consolas" w:hAnsi="Consolas"/>
          <w:sz w:val="20"/>
        </w:rPr>
        <w:t>n = 86    mean difference d̄ = 1.216    standard deviation s_d = 4.929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4.929 / √86 = 0.5315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1.216 / 0.5315 = 2.29     df = n − 1 = 85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±1.988     |t| = 2.29     p = 0.0246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1.988 × SE = [0.16, 2.27] percentage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t(85) = 2.29</w:t>
            </w:r>
          </w:p>
        </w:tc>
        <w:tc>
          <w:tcPr>
            <w:tcW w:type="dxa" w:w="2160"/>
          </w:tcPr>
          <w:p>
            <w:r>
              <w:t>0.0246</w:t>
            </w:r>
          </w:p>
        </w:tc>
        <w:tc>
          <w:tcPr>
            <w:tcW w:type="dxa" w:w="2160"/>
          </w:tcPr>
          <w:p>
            <w:r>
              <w:t>Mean difference +1.22 percentage points, 95% CI [0.16, 2.27]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= 0.0246 &lt; 0.05, so H₀ is rejected.</w:t>
      </w:r>
    </w:p>
    <w:p>
      <w:pPr>
        <w:pStyle w:val="Heading1"/>
      </w:pPr>
      <w:r>
        <w:t>8. Conclusion</w:t>
      </w:r>
    </w:p>
    <w:p>
      <w:r>
        <w:t>In the hour before a high-stress report, participants spent about 1.2 percentage points more of their time in a vehicle.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