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H12: Stress rises with general negative feelings</w:t>
      </w:r>
    </w:p>
    <w:p>
      <w:pPr>
        <w:pStyle w:val="Heading1"/>
      </w:pPr>
      <w:r>
        <w:t>1. Hypotheses</w:t>
      </w:r>
    </w:p>
    <w:p>
      <w:r>
        <w:t>H₀: Mean average stress is equal in the low, medium and high negative-feelings groups (μ₁ = μ₂ = μ₃).</w:t>
      </w:r>
    </w:p>
    <w:p>
      <w:r>
        <w:t>H₁: At least one group mean is different.</w:t>
      </w:r>
    </w:p>
    <w:p>
      <w:r>
        <w:t>Significance level α = 0.05, two-sided. Stress = tense arousal (0 = very calm, 100 = very restless).</w:t>
      </w:r>
    </w:p>
    <w:p>
      <w:pPr>
        <w:pStyle w:val="Heading1"/>
      </w:pPr>
      <w:r>
        <w:t>2. Data</w:t>
      </w:r>
    </w:p>
    <w:p>
      <w:r>
        <w:t>Data used: initial_survey.csv (PANAS negative items: upset, hostile, ashamed, nervous, afraid; 5–25) + daily_survey.csv.</w:t>
      </w:r>
    </w:p>
    <w:p>
      <w:pPr>
        <w:pStyle w:val="Heading1"/>
      </w:pPr>
      <w:r>
        <w:t>3. Test: One-way ANOVA</w:t>
      </w:r>
    </w:p>
    <w:p>
      <w:r>
        <w:t>Average stress (numeric) is compared across three independent groups, so one-way ANOVA is used instead of several t-tests, which would inflate the chance of a false positive.</w:t>
      </w:r>
    </w:p>
    <w:p>
      <w:pPr>
        <w:pStyle w:val="Heading1"/>
      </w:pPr>
      <w:r>
        <w:t>4. Calculation step by step</w:t>
      </w:r>
    </w:p>
    <w:p>
      <w:r>
        <w:t>Step 1 – Summary of each group (average stress per participant):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Group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Mean</w:t>
            </w:r>
          </w:p>
        </w:tc>
        <w:tc>
          <w:tcPr>
            <w:tcW w:type="dxa" w:w="2160"/>
          </w:tcPr>
          <w:p>
            <w:r>
              <w:t>Standard deviation</w:t>
            </w:r>
          </w:p>
        </w:tc>
      </w:tr>
      <w:tr>
        <w:tc>
          <w:tcPr>
            <w:tcW w:type="dxa" w:w="2160"/>
          </w:tcPr>
          <w:p>
            <w:r>
              <w:t>Low (5-7)</w:t>
            </w:r>
          </w:p>
        </w:tc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32.24</w:t>
            </w:r>
          </w:p>
        </w:tc>
        <w:tc>
          <w:tcPr>
            <w:tcW w:type="dxa" w:w="2160"/>
          </w:tcPr>
          <w:p>
            <w:r>
              <w:t>18.08</w:t>
            </w:r>
          </w:p>
        </w:tc>
      </w:tr>
      <w:tr>
        <w:tc>
          <w:tcPr>
            <w:tcW w:type="dxa" w:w="2160"/>
          </w:tcPr>
          <w:p>
            <w:r>
              <w:t>Medium (8-11)</w:t>
            </w:r>
          </w:p>
        </w:tc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33.55</w:t>
            </w:r>
          </w:p>
        </w:tc>
        <w:tc>
          <w:tcPr>
            <w:tcW w:type="dxa" w:w="2160"/>
          </w:tcPr>
          <w:p>
            <w:r>
              <w:t>12.56</w:t>
            </w:r>
          </w:p>
        </w:tc>
      </w:tr>
      <w:tr>
        <w:tc>
          <w:tcPr>
            <w:tcW w:type="dxa" w:w="2160"/>
          </w:tcPr>
          <w:p>
            <w:r>
              <w:t>High (12-25)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43.88</w:t>
            </w:r>
          </w:p>
        </w:tc>
        <w:tc>
          <w:tcPr>
            <w:tcW w:type="dxa" w:w="2160"/>
          </w:tcPr>
          <w:p>
            <w:r>
              <w:t>16.84</w:t>
            </w:r>
          </w:p>
        </w:tc>
      </w:tr>
    </w:tbl>
    <w:p/>
    <w:p>
      <w:pPr>
        <w:ind w:left="576"/>
      </w:pPr>
      <w:r>
        <w:rPr>
          <w:rFonts w:ascii="Consolas" w:hAnsi="Consolas"/>
          <w:sz w:val="20"/>
        </w:rPr>
        <w:t>Grand mean of all 103 participants = 35.50</w:t>
      </w:r>
    </w:p>
    <w:p>
      <w:r>
        <w:t>Step 2 – Between-groups sum of squares (how far each group mean is from the grand mean):</w:t>
      </w:r>
    </w:p>
    <w:p>
      <w:pPr>
        <w:ind w:left="576"/>
      </w:pPr>
      <w:r>
        <w:rPr>
          <w:rFonts w:ascii="Consolas" w:hAnsi="Consolas"/>
          <w:sz w:val="20"/>
        </w:rPr>
        <w:t>SSB = Σ nⱼ (x̄ⱼ − x̄)² = 44×(32.24 − 35.50)² + 34×(33.55 − 35.50)² + 25×(43.88 − 35.50)² = 2351.7</w:t>
      </w:r>
    </w:p>
    <w:p>
      <w:r>
        <w:t>Step 3 – Within-groups sum of squares (spread inside each group):</w:t>
      </w:r>
    </w:p>
    <w:p>
      <w:pPr>
        <w:ind w:left="576"/>
      </w:pPr>
      <w:r>
        <w:rPr>
          <w:rFonts w:ascii="Consolas" w:hAnsi="Consolas"/>
          <w:sz w:val="20"/>
        </w:rPr>
        <w:t>SSW = Σ Σ (x − x̄ⱼ)² = 26063.1</w:t>
      </w:r>
    </w:p>
    <w:p>
      <w:r>
        <w:t>Step 4 – ANOVA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Source</w:t>
            </w:r>
          </w:p>
        </w:tc>
        <w:tc>
          <w:tcPr>
            <w:tcW w:type="dxa" w:w="1728"/>
          </w:tcPr>
          <w:p>
            <w:r>
              <w:t>SS</w:t>
            </w:r>
          </w:p>
        </w:tc>
        <w:tc>
          <w:tcPr>
            <w:tcW w:type="dxa" w:w="1728"/>
          </w:tcPr>
          <w:p>
            <w:r>
              <w:t>df</w:t>
            </w:r>
          </w:p>
        </w:tc>
        <w:tc>
          <w:tcPr>
            <w:tcW w:type="dxa" w:w="1728"/>
          </w:tcPr>
          <w:p>
            <w:r>
              <w:t>MS = SS/df</w:t>
            </w:r>
          </w:p>
        </w:tc>
        <w:tc>
          <w:tcPr>
            <w:tcW w:type="dxa" w:w="1728"/>
          </w:tcPr>
          <w:p>
            <w:r>
              <w:t>F</w:t>
            </w:r>
          </w:p>
        </w:tc>
      </w:tr>
      <w:tr>
        <w:tc>
          <w:tcPr>
            <w:tcW w:type="dxa" w:w="1728"/>
          </w:tcPr>
          <w:p>
            <w:r>
              <w:t>Between groups</w:t>
            </w:r>
          </w:p>
        </w:tc>
        <w:tc>
          <w:tcPr>
            <w:tcW w:type="dxa" w:w="1728"/>
          </w:tcPr>
          <w:p>
            <w:r>
              <w:t>2351.7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1175.9</w:t>
            </w:r>
          </w:p>
        </w:tc>
        <w:tc>
          <w:tcPr>
            <w:tcW w:type="dxa" w:w="1728"/>
          </w:tcPr>
          <w:p>
            <w:r>
              <w:t>4.51</w:t>
            </w:r>
          </w:p>
        </w:tc>
      </w:tr>
      <w:tr>
        <w:tc>
          <w:tcPr>
            <w:tcW w:type="dxa" w:w="1728"/>
          </w:tcPr>
          <w:p>
            <w:r>
              <w:t>Within groups</w:t>
            </w:r>
          </w:p>
        </w:tc>
        <w:tc>
          <w:tcPr>
            <w:tcW w:type="dxa" w:w="1728"/>
          </w:tcPr>
          <w:p>
            <w:r>
              <w:t>26063.1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260.6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</w:t>
            </w:r>
          </w:p>
        </w:tc>
        <w:tc>
          <w:tcPr>
            <w:tcW w:type="dxa" w:w="1728"/>
          </w:tcPr>
          <w:p>
            <w:r>
              <w:t>28414.8</w:t>
            </w:r>
          </w:p>
        </w:tc>
        <w:tc>
          <w:tcPr>
            <w:tcW w:type="dxa" w:w="1728"/>
          </w:tcPr>
          <w:p>
            <w:r>
              <w:t>102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r>
        <w:t>Step 5 – Decision:</w:t>
      </w:r>
    </w:p>
    <w:p>
      <w:pPr>
        <w:ind w:left="576"/>
      </w:pPr>
      <w:r>
        <w:rPr>
          <w:rFonts w:ascii="Consolas" w:hAnsi="Consolas"/>
          <w:sz w:val="20"/>
        </w:rPr>
        <w:t>F = MSB / MSW = 1175.9 / 260.6 = 4.51</w:t>
      </w:r>
    </w:p>
    <w:p>
      <w:pPr>
        <w:ind w:left="576"/>
      </w:pPr>
      <w:r>
        <w:rPr>
          <w:rFonts w:ascii="Consolas" w:hAnsi="Consolas"/>
          <w:sz w:val="20"/>
        </w:rPr>
        <w:t>critical value F(0.05; 2, 100) = 3.087     p = 0.0133</w:t>
      </w:r>
    </w:p>
    <w:p>
      <w:pPr>
        <w:ind w:left="576"/>
      </w:pPr>
      <w:r>
        <w:rPr>
          <w:rFonts w:ascii="Consolas" w:hAnsi="Consolas"/>
          <w:sz w:val="20"/>
        </w:rPr>
        <w:t>Effect size η² = SSB / SST = 2351.7 / 28414.8 = 0.08</w:t>
      </w:r>
    </w:p>
    <w:p>
      <w:pPr>
        <w:pStyle w:val="Heading1"/>
      </w:pPr>
      <w:r>
        <w:t>5. Result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</w:t>
            </w:r>
          </w:p>
        </w:tc>
        <w:tc>
          <w:tcPr>
            <w:tcW w:type="dxa" w:w="2160"/>
          </w:tcPr>
          <w:p>
            <w:r>
              <w:t>Statistic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Effect</w:t>
            </w:r>
          </w:p>
        </w:tc>
      </w:tr>
      <w:tr>
        <w:tc>
          <w:tcPr>
            <w:tcW w:type="dxa" w:w="2160"/>
          </w:tcPr>
          <w:p>
            <w:r>
              <w:t>One-way ANOVA</w:t>
            </w:r>
          </w:p>
        </w:tc>
        <w:tc>
          <w:tcPr>
            <w:tcW w:type="dxa" w:w="2160"/>
          </w:tcPr>
          <w:p>
            <w:r>
              <w:t>F(2, 100) = 4.51</w:t>
            </w:r>
          </w:p>
        </w:tc>
        <w:tc>
          <w:tcPr>
            <w:tcW w:type="dxa" w:w="2160"/>
          </w:tcPr>
          <w:p>
            <w:r>
              <w:t>0.0133</w:t>
            </w:r>
          </w:p>
        </w:tc>
        <w:tc>
          <w:tcPr>
            <w:tcW w:type="dxa" w:w="2160"/>
          </w:tcPr>
          <w:p>
            <w:r>
              <w:t>η² = 0.08 (medium)</w:t>
            </w:r>
          </w:p>
        </w:tc>
      </w:tr>
    </w:tbl>
    <w:p/>
    <w:p>
      <w:pPr>
        <w:pStyle w:val="Heading1"/>
      </w:pPr>
      <w:r>
        <w:t>6. Graph</w:t>
      </w:r>
    </w:p>
    <w:p>
      <w:r>
        <w:drawing>
          <wp:inline xmlns:a="http://schemas.openxmlformats.org/drawingml/2006/main" xmlns:pic="http://schemas.openxmlformats.org/drawingml/2006/picture">
            <wp:extent cx="4846320" cy="38078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1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807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Each dot is one participant; the triangle marks the group mean. Under H₀ all three means would be similar.</w:t>
      </w:r>
    </w:p>
    <w:p>
      <w:pPr>
        <w:pStyle w:val="Heading1"/>
      </w:pPr>
      <w:r>
        <w:t>7. Decision</w:t>
      </w:r>
    </w:p>
    <w:p>
      <w:r>
        <w:t>p = 0.0133 &lt; 0.05, so H₀ is rejected.</w:t>
      </w:r>
    </w:p>
    <w:p>
      <w:pPr>
        <w:pStyle w:val="Heading1"/>
      </w:pPr>
      <w:r>
        <w:t>8. Conclusion</w:t>
      </w:r>
    </w:p>
    <w:p>
      <w:r>
        <w:t>Mean stress is highest in people with high general negative feelings (43.9) compared with medium (33.6) and low (32.2). This is an association in the data, not proof of cause.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