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E19" w:rsidRDefault="00D52E19">
      <w:pPr>
        <w:spacing w:line="240" w:lineRule="exact"/>
        <w:rPr>
          <w:vanish/>
          <w:sz w:val="24"/>
        </w:rPr>
      </w:pPr>
    </w:p>
    <w:p w:rsidR="00D52E19" w:rsidRDefault="00D52E19">
      <w:pPr>
        <w:framePr w:w="1944" w:h="1944" w:hRule="exact" w:hSpace="240" w:vSpace="240" w:wrap="auto" w:hAnchor="margin" w:x="7273" w:y="1"/>
        <w:pBdr>
          <w:top w:val="single" w:sz="6" w:space="0" w:color="FFFFFF"/>
          <w:left w:val="single" w:sz="6" w:space="0" w:color="FFFFFF"/>
          <w:bottom w:val="single" w:sz="6" w:space="0" w:color="FFFFFF"/>
          <w:right w:val="single" w:sz="6" w:space="0" w:color="FFFFFF"/>
        </w:pBdr>
        <w:rPr>
          <w:sz w:val="24"/>
        </w:rPr>
      </w:pPr>
    </w:p>
    <w:p w:rsidR="00D52E19" w:rsidRDefault="005D227F" w:rsidP="00FE03B7">
      <w:pPr>
        <w:framePr w:w="1944" w:h="1944" w:hRule="exact" w:hSpace="240" w:vSpace="240" w:wrap="auto" w:vAnchor="page" w:hAnchor="page" w:x="8827" w:y="1505"/>
        <w:pBdr>
          <w:top w:val="single" w:sz="6" w:space="0" w:color="FFFFFF"/>
          <w:left w:val="single" w:sz="6" w:space="0" w:color="FFFFFF"/>
          <w:bottom w:val="single" w:sz="6" w:space="0" w:color="FFFFFF"/>
          <w:right w:val="single" w:sz="6" w:space="0" w:color="FFFFFF"/>
        </w:pBdr>
        <w:rPr>
          <w:sz w:val="24"/>
        </w:rPr>
      </w:pPr>
      <w:r>
        <w:rPr>
          <w:noProof/>
        </w:rPr>
        <w:drawing>
          <wp:inline distT="0" distB="0" distL="0" distR="0">
            <wp:extent cx="1238250" cy="1238250"/>
            <wp:effectExtent l="19050" t="0" r="0" b="0"/>
            <wp:docPr id="1" name="Picture 1" descr="doi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i_cmyk"/>
                    <pic:cNvPicPr>
                      <a:picLocks noChangeAspect="1" noChangeArrowheads="1"/>
                    </pic:cNvPicPr>
                  </pic:nvPicPr>
                  <pic:blipFill>
                    <a:blip r:embed="rId7"/>
                    <a:srcRect/>
                    <a:stretch>
                      <a:fillRect/>
                    </a:stretch>
                  </pic:blipFill>
                  <pic:spPr bwMode="auto">
                    <a:xfrm>
                      <a:off x="0" y="0"/>
                      <a:ext cx="1238250" cy="1238250"/>
                    </a:xfrm>
                    <a:prstGeom prst="rect">
                      <a:avLst/>
                    </a:prstGeom>
                    <a:noFill/>
                    <a:ln w="9525">
                      <a:noFill/>
                      <a:miter lim="800000"/>
                      <a:headEnd/>
                      <a:tailEnd/>
                    </a:ln>
                  </pic:spPr>
                </pic:pic>
              </a:graphicData>
            </a:graphic>
          </wp:inline>
        </w:drawing>
      </w:r>
    </w:p>
    <w:p w:rsidR="00FE03B7" w:rsidRDefault="005D227F" w:rsidP="00FE03B7">
      <w:pPr>
        <w:framePr w:w="2197" w:h="2045" w:hRule="exact" w:hSpace="90" w:vSpace="90" w:wrap="auto" w:vAnchor="page" w:hAnchor="page" w:x="1027" w:y="1625"/>
        <w:pBdr>
          <w:top w:val="single" w:sz="6" w:space="0" w:color="FFFFFF"/>
          <w:left w:val="single" w:sz="6" w:space="0" w:color="FFFFFF"/>
          <w:bottom w:val="single" w:sz="6" w:space="0" w:color="FFFFFF"/>
          <w:right w:val="single" w:sz="6" w:space="0" w:color="FFFFFF"/>
        </w:pBdr>
        <w:rPr>
          <w:sz w:val="24"/>
        </w:rPr>
      </w:pPr>
      <w:r>
        <w:rPr>
          <w:noProof/>
          <w:sz w:val="24"/>
        </w:rPr>
        <w:drawing>
          <wp:inline distT="0" distB="0" distL="0" distR="0">
            <wp:extent cx="1343025" cy="12001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l="-1472" t="-1460" r="-1472" b="-1460"/>
                    <a:stretch>
                      <a:fillRect/>
                    </a:stretch>
                  </pic:blipFill>
                  <pic:spPr bwMode="auto">
                    <a:xfrm>
                      <a:off x="0" y="0"/>
                      <a:ext cx="1343025" cy="1200150"/>
                    </a:xfrm>
                    <a:prstGeom prst="rect">
                      <a:avLst/>
                    </a:prstGeom>
                    <a:noFill/>
                    <a:ln w="9525">
                      <a:noFill/>
                      <a:miter lim="800000"/>
                      <a:headEnd/>
                      <a:tailEnd/>
                    </a:ln>
                  </pic:spPr>
                </pic:pic>
              </a:graphicData>
            </a:graphic>
          </wp:inline>
        </w:drawing>
      </w:r>
    </w:p>
    <w:p w:rsidR="00FE03B7" w:rsidRDefault="00FE03B7" w:rsidP="00FE03B7">
      <w:pPr>
        <w:framePr w:w="2197" w:h="2045" w:hRule="exact" w:hSpace="90" w:vSpace="90" w:wrap="auto" w:vAnchor="page" w:hAnchor="page" w:x="1027" w:y="1625"/>
      </w:pPr>
    </w:p>
    <w:p w:rsidR="00FE03B7" w:rsidRDefault="00FE03B7" w:rsidP="00FE03B7">
      <w:pPr>
        <w:framePr w:w="2197" w:h="2045" w:hRule="exact" w:hSpace="90" w:vSpace="90" w:wrap="auto" w:vAnchor="page" w:hAnchor="page" w:x="1027" w:y="1625"/>
        <w:pBdr>
          <w:top w:val="single" w:sz="6" w:space="0" w:color="FFFFFF"/>
          <w:left w:val="single" w:sz="6" w:space="0" w:color="FFFFFF"/>
          <w:bottom w:val="single" w:sz="6" w:space="0" w:color="FFFFFF"/>
          <w:right w:val="single" w:sz="6" w:space="0" w:color="FFFFFF"/>
        </w:pBdr>
        <w:rPr>
          <w:rFonts w:ascii="Andale Mono" w:hAnsi="Andale Mono"/>
          <w:sz w:val="24"/>
        </w:rPr>
      </w:pPr>
      <w:r>
        <w:rPr>
          <w:sz w:val="24"/>
        </w:rPr>
        <w:t xml:space="preserve">          </w:t>
      </w:r>
    </w:p>
    <w:p w:rsidR="00D52E19" w:rsidRDefault="00D52E19">
      <w:pPr>
        <w:rPr>
          <w:rFonts w:ascii="Andale Mono" w:hAnsi="Andale Mono"/>
          <w:sz w:val="24"/>
        </w:rPr>
      </w:pPr>
    </w:p>
    <w:p w:rsidR="00D52E19" w:rsidRDefault="00D52E19">
      <w:pPr>
        <w:rPr>
          <w:rFonts w:ascii="Andale Mono" w:hAnsi="Andale Mono"/>
          <w:sz w:val="24"/>
        </w:rPr>
      </w:pPr>
    </w:p>
    <w:p w:rsidR="00D52E19" w:rsidRDefault="00D52E19">
      <w:pPr>
        <w:ind w:left="-198"/>
        <w:rPr>
          <w:rFonts w:ascii="CG Times" w:hAnsi="CG Times"/>
          <w:b/>
          <w:sz w:val="28"/>
        </w:rPr>
      </w:pPr>
    </w:p>
    <w:p w:rsidR="00FE03B7" w:rsidRDefault="00D52E19" w:rsidP="00624A5D">
      <w:pPr>
        <w:pStyle w:val="Heading2"/>
        <w:numPr>
          <w:ilvl w:val="0"/>
          <w:numId w:val="0"/>
        </w:numPr>
        <w:ind w:left="900"/>
      </w:pPr>
      <w:r>
        <w:t xml:space="preserve">UNITED STATES </w:t>
      </w:r>
    </w:p>
    <w:p w:rsidR="00D52E19" w:rsidRDefault="00D52E19" w:rsidP="00624A5D">
      <w:pPr>
        <w:pStyle w:val="Heading2"/>
        <w:numPr>
          <w:ilvl w:val="0"/>
          <w:numId w:val="0"/>
        </w:numPr>
        <w:ind w:left="900"/>
      </w:pPr>
      <w:r>
        <w:t>DEPARTMENT OF THE INTERIOR</w:t>
      </w:r>
    </w:p>
    <w:p w:rsidR="00017A09" w:rsidRDefault="00017A09" w:rsidP="00017A09">
      <w:pPr>
        <w:tabs>
          <w:tab w:val="center" w:pos="4221"/>
          <w:tab w:val="left" w:pos="4842"/>
          <w:tab w:val="left" w:pos="5562"/>
          <w:tab w:val="left" w:pos="6282"/>
          <w:tab w:val="left" w:pos="7002"/>
          <w:tab w:val="left" w:pos="7722"/>
          <w:tab w:val="left" w:pos="8442"/>
        </w:tabs>
        <w:ind w:left="-198"/>
        <w:rPr>
          <w:rFonts w:ascii="CG Times" w:hAnsi="CG Times"/>
          <w:b/>
          <w:sz w:val="28"/>
        </w:rPr>
      </w:pPr>
    </w:p>
    <w:p w:rsidR="00D52E19" w:rsidRDefault="003D6CFA" w:rsidP="00017A09">
      <w:pPr>
        <w:tabs>
          <w:tab w:val="center" w:pos="4221"/>
          <w:tab w:val="left" w:pos="4842"/>
          <w:tab w:val="left" w:pos="5562"/>
          <w:tab w:val="left" w:pos="6282"/>
          <w:tab w:val="left" w:pos="7002"/>
          <w:tab w:val="left" w:pos="7722"/>
          <w:tab w:val="left" w:pos="8442"/>
        </w:tabs>
        <w:ind w:left="-198"/>
        <w:rPr>
          <w:rFonts w:ascii="CG Times" w:hAnsi="CG Times"/>
          <w:b/>
          <w:sz w:val="28"/>
        </w:rPr>
      </w:pPr>
      <w:r>
        <w:rPr>
          <w:rFonts w:ascii="CG Times" w:hAnsi="CG Times"/>
          <w:b/>
          <w:sz w:val="28"/>
        </w:rPr>
        <w:t>BUREAU OF LAND</w:t>
      </w:r>
      <w:r w:rsidR="00017A09">
        <w:rPr>
          <w:rFonts w:ascii="CG Times" w:hAnsi="CG Times"/>
          <w:b/>
          <w:sz w:val="28"/>
        </w:rPr>
        <w:t xml:space="preserve"> </w:t>
      </w:r>
      <w:r>
        <w:rPr>
          <w:rFonts w:ascii="CG Times" w:hAnsi="CG Times"/>
          <w:b/>
          <w:sz w:val="28"/>
        </w:rPr>
        <w:t>MANAGEMENT</w:t>
      </w:r>
    </w:p>
    <w:p w:rsidR="00D52E19" w:rsidRDefault="00D52E19">
      <w:pPr>
        <w:ind w:left="-288"/>
        <w:rPr>
          <w:rFonts w:ascii="CG Times" w:hAnsi="CG Times"/>
          <w:b/>
          <w:sz w:val="28"/>
        </w:rPr>
      </w:pPr>
    </w:p>
    <w:p w:rsidR="004A1F86" w:rsidRDefault="004A1F86" w:rsidP="004A1F86"/>
    <w:p w:rsidR="004A1F86" w:rsidRDefault="004A1F86" w:rsidP="004A1F86"/>
    <w:p w:rsidR="004A1F86" w:rsidRDefault="004A1F86" w:rsidP="004A1F86">
      <w:pPr>
        <w:jc w:val="center"/>
        <w:rPr>
          <w:b/>
          <w:sz w:val="32"/>
          <w:szCs w:val="32"/>
        </w:rPr>
      </w:pPr>
      <w:r w:rsidRPr="003A7E67">
        <w:rPr>
          <w:b/>
          <w:sz w:val="32"/>
          <w:szCs w:val="32"/>
        </w:rPr>
        <w:t>NOTICE OF INTENT TO AWARD</w:t>
      </w:r>
    </w:p>
    <w:p w:rsidR="004A1F86" w:rsidRDefault="004A1F86" w:rsidP="004A1F86">
      <w:pPr>
        <w:jc w:val="center"/>
        <w:rPr>
          <w:b/>
          <w:sz w:val="32"/>
          <w:szCs w:val="32"/>
        </w:rPr>
      </w:pPr>
    </w:p>
    <w:p w:rsidR="004A1F86" w:rsidRDefault="004A1F86" w:rsidP="004A1F86">
      <w:r>
        <w:t>This Funding Announcement is not a request for applications.  This announcement is to provide public notice of the Bureau of Land Management’s intention to fund the following project activities without full and open competition.</w:t>
      </w:r>
    </w:p>
    <w:p w:rsidR="004A1F86" w:rsidRDefault="004A1F86" w:rsidP="004A1F86"/>
    <w:p w:rsidR="004A1F86" w:rsidRDefault="004A1F86" w:rsidP="004A1F86"/>
    <w:tbl>
      <w:tblPr>
        <w:tblW w:w="5000" w:type="pct"/>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1E0"/>
      </w:tblPr>
      <w:tblGrid>
        <w:gridCol w:w="2560"/>
        <w:gridCol w:w="8186"/>
      </w:tblGrid>
      <w:tr w:rsidR="004A1F86" w:rsidRPr="00683645" w:rsidTr="001F1420">
        <w:tc>
          <w:tcPr>
            <w:tcW w:w="5000" w:type="pct"/>
            <w:gridSpan w:val="2"/>
            <w:tcBorders>
              <w:top w:val="double" w:sz="4" w:space="0" w:color="auto"/>
              <w:bottom w:val="double" w:sz="4" w:space="0" w:color="auto"/>
            </w:tcBorders>
            <w:shd w:val="clear" w:color="auto" w:fill="CB9F5B"/>
          </w:tcPr>
          <w:p w:rsidR="004A1F86" w:rsidRPr="001F1420" w:rsidRDefault="004A1F86" w:rsidP="001F1420">
            <w:pPr>
              <w:jc w:val="center"/>
              <w:rPr>
                <w:b/>
                <w:sz w:val="28"/>
                <w:szCs w:val="28"/>
              </w:rPr>
            </w:pPr>
            <w:r w:rsidRPr="001F1420">
              <w:rPr>
                <w:b/>
                <w:sz w:val="28"/>
                <w:szCs w:val="28"/>
              </w:rPr>
              <w:t>ABSTRACT</w:t>
            </w:r>
          </w:p>
        </w:tc>
      </w:tr>
      <w:tr w:rsidR="004A1F86" w:rsidRPr="00683645" w:rsidTr="001F1420">
        <w:tc>
          <w:tcPr>
            <w:tcW w:w="1191" w:type="pct"/>
            <w:tcBorders>
              <w:top w:val="double" w:sz="4" w:space="0" w:color="auto"/>
            </w:tcBorders>
          </w:tcPr>
          <w:p w:rsidR="004A1F86" w:rsidRPr="001F1420" w:rsidRDefault="004A1F86" w:rsidP="00CB559F">
            <w:pPr>
              <w:rPr>
                <w:b/>
              </w:rPr>
            </w:pPr>
            <w:r w:rsidRPr="001F1420">
              <w:rPr>
                <w:b/>
              </w:rPr>
              <w:t>Funding Announcement</w:t>
            </w:r>
          </w:p>
        </w:tc>
        <w:tc>
          <w:tcPr>
            <w:tcW w:w="3809" w:type="pct"/>
            <w:tcBorders>
              <w:top w:val="double" w:sz="4" w:space="0" w:color="auto"/>
            </w:tcBorders>
            <w:vAlign w:val="center"/>
          </w:tcPr>
          <w:p w:rsidR="004A1F86" w:rsidRPr="00D04D8B" w:rsidRDefault="006630AC" w:rsidP="00CB559F">
            <w:r>
              <w:t>CA-NOI-08-0012</w:t>
            </w:r>
          </w:p>
        </w:tc>
      </w:tr>
      <w:tr w:rsidR="004A1F86" w:rsidRPr="00683645" w:rsidTr="001F1420">
        <w:tc>
          <w:tcPr>
            <w:tcW w:w="1191" w:type="pct"/>
          </w:tcPr>
          <w:p w:rsidR="004A1F86" w:rsidRPr="001F1420" w:rsidRDefault="004A1F86" w:rsidP="00CB559F">
            <w:pPr>
              <w:rPr>
                <w:b/>
              </w:rPr>
            </w:pPr>
            <w:r w:rsidRPr="001F1420">
              <w:rPr>
                <w:b/>
              </w:rPr>
              <w:t>Project Title</w:t>
            </w:r>
          </w:p>
        </w:tc>
        <w:tc>
          <w:tcPr>
            <w:tcW w:w="3809" w:type="pct"/>
          </w:tcPr>
          <w:p w:rsidR="004A1F86" w:rsidRPr="00D04D8B" w:rsidRDefault="00355326" w:rsidP="00CB559F">
            <w:r>
              <w:t>San Joaquin River Gorge “Hands on the Land” and Energy Education Program</w:t>
            </w:r>
          </w:p>
        </w:tc>
      </w:tr>
      <w:tr w:rsidR="004A1F86" w:rsidRPr="00683645" w:rsidTr="001F1420">
        <w:tc>
          <w:tcPr>
            <w:tcW w:w="1191" w:type="pct"/>
          </w:tcPr>
          <w:p w:rsidR="004A1F86" w:rsidRPr="001F1420" w:rsidRDefault="004A1F86" w:rsidP="00CB559F">
            <w:pPr>
              <w:rPr>
                <w:b/>
              </w:rPr>
            </w:pPr>
            <w:r w:rsidRPr="001F1420">
              <w:rPr>
                <w:b/>
              </w:rPr>
              <w:t>Recipient</w:t>
            </w:r>
          </w:p>
        </w:tc>
        <w:tc>
          <w:tcPr>
            <w:tcW w:w="3809" w:type="pct"/>
          </w:tcPr>
          <w:p w:rsidR="004A1F86" w:rsidRPr="00D04D8B" w:rsidRDefault="00355326" w:rsidP="00CB559F">
            <w:r>
              <w:t>National Energy Education Development Project</w:t>
            </w:r>
          </w:p>
        </w:tc>
      </w:tr>
      <w:tr w:rsidR="004A1F86" w:rsidRPr="00683645" w:rsidTr="001F1420">
        <w:tc>
          <w:tcPr>
            <w:tcW w:w="1191" w:type="pct"/>
          </w:tcPr>
          <w:p w:rsidR="004A1F86" w:rsidRPr="001F1420" w:rsidRDefault="004A1F86" w:rsidP="00CB559F">
            <w:pPr>
              <w:rPr>
                <w:b/>
              </w:rPr>
            </w:pPr>
            <w:r w:rsidRPr="001F1420">
              <w:rPr>
                <w:b/>
              </w:rPr>
              <w:t>Principle Investigator / Program Manager</w:t>
            </w:r>
          </w:p>
        </w:tc>
        <w:tc>
          <w:tcPr>
            <w:tcW w:w="3809" w:type="pct"/>
          </w:tcPr>
          <w:p w:rsidR="004A1F86" w:rsidRPr="00D04D8B" w:rsidRDefault="00355326" w:rsidP="00CB559F">
            <w:r>
              <w:t>Mary Spruill</w:t>
            </w:r>
          </w:p>
        </w:tc>
      </w:tr>
      <w:tr w:rsidR="004A1F86" w:rsidRPr="00683645" w:rsidTr="001F1420">
        <w:tc>
          <w:tcPr>
            <w:tcW w:w="1191" w:type="pct"/>
          </w:tcPr>
          <w:p w:rsidR="004A1F86" w:rsidRPr="001F1420" w:rsidRDefault="004A1F86" w:rsidP="00CB559F">
            <w:pPr>
              <w:rPr>
                <w:b/>
              </w:rPr>
            </w:pPr>
            <w:r w:rsidRPr="001F1420">
              <w:rPr>
                <w:b/>
              </w:rPr>
              <w:t>Total Anticipated Award Amount</w:t>
            </w:r>
          </w:p>
        </w:tc>
        <w:tc>
          <w:tcPr>
            <w:tcW w:w="3809" w:type="pct"/>
            <w:vAlign w:val="center"/>
          </w:tcPr>
          <w:p w:rsidR="004A1F86" w:rsidRPr="00D04D8B" w:rsidRDefault="00355326" w:rsidP="00CB559F">
            <w:r>
              <w:t>$250,000</w:t>
            </w:r>
          </w:p>
        </w:tc>
      </w:tr>
      <w:tr w:rsidR="004A1F86" w:rsidRPr="00683645" w:rsidTr="001F1420">
        <w:trPr>
          <w:trHeight w:val="377"/>
        </w:trPr>
        <w:tc>
          <w:tcPr>
            <w:tcW w:w="1191" w:type="pct"/>
            <w:vAlign w:val="center"/>
          </w:tcPr>
          <w:p w:rsidR="004A1F86" w:rsidRPr="001F1420" w:rsidRDefault="004A1F86" w:rsidP="00CB559F">
            <w:pPr>
              <w:rPr>
                <w:b/>
              </w:rPr>
            </w:pPr>
            <w:r w:rsidRPr="001F1420">
              <w:rPr>
                <w:b/>
              </w:rPr>
              <w:t>Cost Share</w:t>
            </w:r>
          </w:p>
        </w:tc>
        <w:tc>
          <w:tcPr>
            <w:tcW w:w="3809" w:type="pct"/>
            <w:vAlign w:val="center"/>
          </w:tcPr>
          <w:p w:rsidR="004A1F86" w:rsidRPr="00D04D8B" w:rsidRDefault="00B97501" w:rsidP="00CB559F">
            <w:r>
              <w:t>Estimated contribution of  $100,000 over five years</w:t>
            </w:r>
          </w:p>
        </w:tc>
      </w:tr>
      <w:tr w:rsidR="004A1F86" w:rsidRPr="00683645" w:rsidTr="001F1420">
        <w:tc>
          <w:tcPr>
            <w:tcW w:w="1191" w:type="pct"/>
          </w:tcPr>
          <w:p w:rsidR="004A1F86" w:rsidRPr="001F1420" w:rsidRDefault="004A1F86" w:rsidP="00CB559F">
            <w:pPr>
              <w:rPr>
                <w:b/>
              </w:rPr>
            </w:pPr>
            <w:r w:rsidRPr="001F1420">
              <w:rPr>
                <w:b/>
              </w:rPr>
              <w:t>New Award or Continuation?</w:t>
            </w:r>
          </w:p>
        </w:tc>
        <w:tc>
          <w:tcPr>
            <w:tcW w:w="3809" w:type="pct"/>
            <w:vAlign w:val="center"/>
          </w:tcPr>
          <w:p w:rsidR="004A1F86" w:rsidRPr="00D04D8B" w:rsidRDefault="00355326" w:rsidP="00CB559F">
            <w:r>
              <w:t>Continuation</w:t>
            </w:r>
          </w:p>
        </w:tc>
      </w:tr>
      <w:tr w:rsidR="004A1F86" w:rsidRPr="00683645" w:rsidTr="001F1420">
        <w:tc>
          <w:tcPr>
            <w:tcW w:w="1191" w:type="pct"/>
          </w:tcPr>
          <w:p w:rsidR="004A1F86" w:rsidRPr="001F1420" w:rsidRDefault="004A1F86" w:rsidP="00CB559F">
            <w:pPr>
              <w:rPr>
                <w:b/>
              </w:rPr>
            </w:pPr>
            <w:r w:rsidRPr="001F1420">
              <w:rPr>
                <w:b/>
              </w:rPr>
              <w:t>Anticipated Length of Agreement</w:t>
            </w:r>
          </w:p>
        </w:tc>
        <w:tc>
          <w:tcPr>
            <w:tcW w:w="3809" w:type="pct"/>
            <w:vAlign w:val="center"/>
          </w:tcPr>
          <w:p w:rsidR="004A1F86" w:rsidRPr="00D04D8B" w:rsidRDefault="00355326" w:rsidP="00CB559F">
            <w:r>
              <w:t>Five Years</w:t>
            </w:r>
          </w:p>
        </w:tc>
      </w:tr>
      <w:tr w:rsidR="004A1F86" w:rsidRPr="00683645" w:rsidTr="001F1420">
        <w:tc>
          <w:tcPr>
            <w:tcW w:w="1191" w:type="pct"/>
          </w:tcPr>
          <w:p w:rsidR="004A1F86" w:rsidRPr="001F1420" w:rsidRDefault="004A1F86" w:rsidP="00CB559F">
            <w:pPr>
              <w:rPr>
                <w:b/>
              </w:rPr>
            </w:pPr>
            <w:r w:rsidRPr="001F1420">
              <w:rPr>
                <w:b/>
              </w:rPr>
              <w:t>Anticipated Period of Performance</w:t>
            </w:r>
          </w:p>
        </w:tc>
        <w:tc>
          <w:tcPr>
            <w:tcW w:w="3809" w:type="pct"/>
            <w:vAlign w:val="center"/>
          </w:tcPr>
          <w:p w:rsidR="004A1F86" w:rsidRPr="00D04D8B" w:rsidRDefault="00355326" w:rsidP="00CB559F">
            <w:r>
              <w:t>08/15/08-09/30/13</w:t>
            </w:r>
          </w:p>
        </w:tc>
      </w:tr>
      <w:tr w:rsidR="004A1F86" w:rsidRPr="00683645" w:rsidTr="001F1420">
        <w:tc>
          <w:tcPr>
            <w:tcW w:w="1191" w:type="pct"/>
          </w:tcPr>
          <w:p w:rsidR="004A1F86" w:rsidRPr="001F1420" w:rsidRDefault="004A1F86" w:rsidP="00CB559F">
            <w:pPr>
              <w:rPr>
                <w:b/>
              </w:rPr>
            </w:pPr>
            <w:r w:rsidRPr="001F1420">
              <w:rPr>
                <w:b/>
              </w:rPr>
              <w:t>Award Instrument</w:t>
            </w:r>
          </w:p>
        </w:tc>
        <w:tc>
          <w:tcPr>
            <w:tcW w:w="3809" w:type="pct"/>
          </w:tcPr>
          <w:p w:rsidR="004A1F86" w:rsidRPr="00D04D8B" w:rsidRDefault="00355326" w:rsidP="00CB559F">
            <w:r>
              <w:t>Cooperative Agreement</w:t>
            </w:r>
          </w:p>
        </w:tc>
      </w:tr>
      <w:tr w:rsidR="004A1F86" w:rsidRPr="00683645" w:rsidTr="001F1420">
        <w:tc>
          <w:tcPr>
            <w:tcW w:w="1191" w:type="pct"/>
          </w:tcPr>
          <w:p w:rsidR="004A1F86" w:rsidRPr="001F1420" w:rsidRDefault="004A1F86" w:rsidP="00CB559F">
            <w:pPr>
              <w:rPr>
                <w:b/>
              </w:rPr>
            </w:pPr>
            <w:r w:rsidRPr="001F1420">
              <w:rPr>
                <w:b/>
              </w:rPr>
              <w:t>Statutory Authority</w:t>
            </w:r>
          </w:p>
        </w:tc>
        <w:tc>
          <w:tcPr>
            <w:tcW w:w="3809" w:type="pct"/>
          </w:tcPr>
          <w:p w:rsidR="004A1F86" w:rsidRPr="00D04D8B" w:rsidRDefault="00355326" w:rsidP="00CB559F">
            <w:r>
              <w:t>Federal Land Policy and Management Act of 1976 (Public Law 94-579, Section 307(b))</w:t>
            </w:r>
          </w:p>
        </w:tc>
      </w:tr>
      <w:tr w:rsidR="004A1F86" w:rsidRPr="00683645" w:rsidTr="001F1420">
        <w:tc>
          <w:tcPr>
            <w:tcW w:w="1191" w:type="pct"/>
          </w:tcPr>
          <w:p w:rsidR="004A1F86" w:rsidRPr="001F1420" w:rsidRDefault="004A1F86" w:rsidP="00CB559F">
            <w:pPr>
              <w:rPr>
                <w:b/>
              </w:rPr>
            </w:pPr>
            <w:r w:rsidRPr="001F1420">
              <w:rPr>
                <w:b/>
              </w:rPr>
              <w:t>CFDA # and Title</w:t>
            </w:r>
          </w:p>
        </w:tc>
        <w:tc>
          <w:tcPr>
            <w:tcW w:w="3809" w:type="pct"/>
          </w:tcPr>
          <w:p w:rsidR="004A1F86" w:rsidRPr="00D04D8B" w:rsidRDefault="004A1F86" w:rsidP="00CB559F"/>
        </w:tc>
      </w:tr>
      <w:tr w:rsidR="004A1F86" w:rsidRPr="00683645" w:rsidTr="001F1420">
        <w:tc>
          <w:tcPr>
            <w:tcW w:w="1191" w:type="pct"/>
          </w:tcPr>
          <w:p w:rsidR="004A1F86" w:rsidRPr="001F1420" w:rsidRDefault="004A1F86" w:rsidP="00CB559F">
            <w:pPr>
              <w:rPr>
                <w:b/>
              </w:rPr>
            </w:pPr>
            <w:r w:rsidRPr="001F1420">
              <w:rPr>
                <w:b/>
              </w:rPr>
              <w:t>Single Source Justification Criteria Cited</w:t>
            </w:r>
          </w:p>
        </w:tc>
        <w:tc>
          <w:tcPr>
            <w:tcW w:w="3809" w:type="pct"/>
          </w:tcPr>
          <w:p w:rsidR="00355326" w:rsidRPr="00D4776B" w:rsidRDefault="00355326" w:rsidP="00355326">
            <w:pPr>
              <w:pStyle w:val="Level1"/>
              <w:numPr>
                <w:ilvl w:val="1"/>
                <w:numId w:val="19"/>
              </w:numPr>
              <w:tabs>
                <w:tab w:val="left" w:pos="-1440"/>
              </w:tabs>
              <w:rPr>
                <w:sz w:val="22"/>
              </w:rPr>
            </w:pPr>
            <w:r w:rsidRPr="00D4776B">
              <w:rPr>
                <w:b/>
                <w:sz w:val="22"/>
              </w:rPr>
              <w:t>Continuation</w:t>
            </w:r>
            <w:r w:rsidRPr="00D4776B">
              <w:rPr>
                <w:sz w:val="22"/>
              </w:rPr>
              <w:t xml:space="preserve"> – The activity to be funded is necessary to the satisfactory completion of, or is a continuation of an activity presently being funded, and for which competition would have a significant adverse effect on the continuity or completion of the activity.</w:t>
            </w:r>
          </w:p>
          <w:p w:rsidR="00355326" w:rsidRPr="00D4776B" w:rsidRDefault="00355326" w:rsidP="00355326">
            <w:pPr>
              <w:pStyle w:val="Level1"/>
              <w:numPr>
                <w:ilvl w:val="1"/>
                <w:numId w:val="19"/>
              </w:numPr>
              <w:tabs>
                <w:tab w:val="left" w:pos="-1440"/>
              </w:tabs>
              <w:rPr>
                <w:sz w:val="22"/>
              </w:rPr>
            </w:pPr>
            <w:r w:rsidRPr="00D4776B">
              <w:rPr>
                <w:b/>
                <w:sz w:val="22"/>
              </w:rPr>
              <w:t>Unique Qualifications</w:t>
            </w:r>
            <w:r w:rsidRPr="00D4776B">
              <w:rPr>
                <w:sz w:val="22"/>
              </w:rPr>
              <w:t xml:space="preserve"> – The applicant is uniquely qualified to performed the activity based upon a variety of demonstrable factors such as location, property ownership, voluntary support capacity, cost-sharing ability, if applicable, technical expertise, or other such unique qualifications;</w:t>
            </w:r>
          </w:p>
          <w:p w:rsidR="004A1F86" w:rsidRPr="00D04D8B" w:rsidRDefault="004A1F86" w:rsidP="00CB559F"/>
        </w:tc>
      </w:tr>
      <w:tr w:rsidR="004A1F86" w:rsidRPr="00683645" w:rsidTr="001F1420">
        <w:tc>
          <w:tcPr>
            <w:tcW w:w="1191" w:type="pct"/>
          </w:tcPr>
          <w:p w:rsidR="004A1F86" w:rsidRPr="001F1420" w:rsidRDefault="004A1F86" w:rsidP="00CB559F">
            <w:pPr>
              <w:rPr>
                <w:b/>
              </w:rPr>
            </w:pPr>
            <w:r w:rsidRPr="001F1420">
              <w:rPr>
                <w:b/>
              </w:rPr>
              <w:t>BLM  Point of Contact</w:t>
            </w:r>
          </w:p>
        </w:tc>
        <w:tc>
          <w:tcPr>
            <w:tcW w:w="3809" w:type="pct"/>
            <w:vAlign w:val="center"/>
          </w:tcPr>
          <w:p w:rsidR="004A1F86" w:rsidRPr="00D04D8B" w:rsidRDefault="00355326" w:rsidP="00CB559F">
            <w:r>
              <w:t>Tracy Rowland, Park Manager  559-855-3492</w:t>
            </w:r>
          </w:p>
        </w:tc>
      </w:tr>
    </w:tbl>
    <w:p w:rsidR="004A1F86" w:rsidRDefault="004A1F86" w:rsidP="004A1F86"/>
    <w:p w:rsidR="004A1F86" w:rsidRDefault="008761FB" w:rsidP="004A1F86">
      <w:r>
        <w:br w:type="page"/>
      </w:r>
    </w:p>
    <w:p w:rsidR="004A1F86" w:rsidRPr="007B2A5C" w:rsidRDefault="004A1F86" w:rsidP="004A1F86">
      <w:pPr>
        <w:jc w:val="center"/>
        <w:rPr>
          <w:b/>
        </w:rPr>
      </w:pPr>
      <w:r>
        <w:rPr>
          <w:b/>
        </w:rPr>
        <w:lastRenderedPageBreak/>
        <w:t>OVERVIEW</w:t>
      </w:r>
    </w:p>
    <w:p w:rsidR="008761FB" w:rsidRDefault="008761FB" w:rsidP="008761FB">
      <w:pPr>
        <w:tabs>
          <w:tab w:val="center" w:pos="5040"/>
        </w:tabs>
        <w:ind w:left="660"/>
        <w:rPr>
          <w:bCs/>
          <w:sz w:val="22"/>
        </w:rPr>
      </w:pPr>
      <w:r w:rsidRPr="008761FB">
        <w:rPr>
          <w:bCs/>
          <w:sz w:val="22"/>
        </w:rPr>
        <w:t xml:space="preserve"> </w:t>
      </w:r>
      <w:r>
        <w:rPr>
          <w:bCs/>
          <w:sz w:val="22"/>
        </w:rPr>
        <w:t xml:space="preserve">This is a “Follow-on” project to expand an existing national partnership to the local level to assist BLM in developing and presenting site-specific “hands-on”, interactive natural and heritage resource educational programs and products for K-12 </w:t>
      </w:r>
      <w:proofErr w:type="gramStart"/>
      <w:r>
        <w:rPr>
          <w:bCs/>
          <w:sz w:val="22"/>
        </w:rPr>
        <w:t>audiences ,</w:t>
      </w:r>
      <w:proofErr w:type="gramEnd"/>
      <w:r>
        <w:rPr>
          <w:bCs/>
          <w:sz w:val="22"/>
        </w:rPr>
        <w:t xml:space="preserve"> including the role of public lands in meeting our nation’s energy needs.  Programs will be correlated to California State Educational standards, and shall be developed in collaboration with BLM and partner technical experts.  Programs and products will emphasize “Tread Lightly!” and “Leave No Trace” principles and </w:t>
      </w:r>
      <w:proofErr w:type="gramStart"/>
      <w:r>
        <w:rPr>
          <w:bCs/>
          <w:sz w:val="22"/>
        </w:rPr>
        <w:t>practices  in</w:t>
      </w:r>
      <w:proofErr w:type="gramEnd"/>
      <w:r>
        <w:rPr>
          <w:bCs/>
          <w:sz w:val="22"/>
        </w:rPr>
        <w:t xml:space="preserve"> order to foster a new generation of responsible outdoor recreationists and land users</w:t>
      </w:r>
      <w:r w:rsidR="00A07CF6">
        <w:rPr>
          <w:bCs/>
          <w:sz w:val="22"/>
        </w:rPr>
        <w:t>.</w:t>
      </w:r>
    </w:p>
    <w:p w:rsidR="00A07CF6" w:rsidRDefault="00A07CF6" w:rsidP="008761FB">
      <w:pPr>
        <w:tabs>
          <w:tab w:val="center" w:pos="5040"/>
        </w:tabs>
        <w:ind w:left="660"/>
        <w:rPr>
          <w:bCs/>
          <w:sz w:val="22"/>
        </w:rPr>
      </w:pPr>
    </w:p>
    <w:p w:rsidR="00A07CF6" w:rsidRDefault="00A07CF6" w:rsidP="008761FB">
      <w:pPr>
        <w:tabs>
          <w:tab w:val="center" w:pos="5040"/>
        </w:tabs>
        <w:ind w:left="660"/>
        <w:rPr>
          <w:bCs/>
          <w:sz w:val="22"/>
        </w:rPr>
      </w:pPr>
    </w:p>
    <w:p w:rsidR="004A1F86" w:rsidRDefault="004A1F86" w:rsidP="004A1F86"/>
    <w:p w:rsidR="004A1F86" w:rsidRDefault="004A1F86" w:rsidP="004A1F86">
      <w:pPr>
        <w:rPr>
          <w:b/>
        </w:rPr>
      </w:pPr>
    </w:p>
    <w:p w:rsidR="004A1F86" w:rsidRPr="00992641" w:rsidRDefault="004A1F86" w:rsidP="004A1F86">
      <w:pPr>
        <w:jc w:val="center"/>
        <w:rPr>
          <w:b/>
        </w:rPr>
      </w:pPr>
      <w:r>
        <w:rPr>
          <w:b/>
        </w:rPr>
        <w:t>RECIPIENT INVOLVEMENT</w:t>
      </w:r>
    </w:p>
    <w:p w:rsidR="008761FB" w:rsidRDefault="004C17DE" w:rsidP="008761FB">
      <w:pPr>
        <w:tabs>
          <w:tab w:val="center" w:pos="5040"/>
        </w:tabs>
        <w:ind w:left="660"/>
        <w:rPr>
          <w:bCs/>
          <w:sz w:val="22"/>
        </w:rPr>
      </w:pPr>
      <w:r>
        <w:rPr>
          <w:bCs/>
          <w:sz w:val="22"/>
        </w:rPr>
        <w:t xml:space="preserve"> </w:t>
      </w:r>
    </w:p>
    <w:p w:rsidR="008761FB" w:rsidRDefault="00B97501" w:rsidP="004C17DE">
      <w:pPr>
        <w:tabs>
          <w:tab w:val="center" w:pos="5040"/>
        </w:tabs>
        <w:ind w:left="720"/>
        <w:rPr>
          <w:bCs/>
          <w:sz w:val="22"/>
        </w:rPr>
      </w:pPr>
      <w:r>
        <w:rPr>
          <w:bCs/>
          <w:sz w:val="22"/>
        </w:rPr>
        <w:t xml:space="preserve">In collaboration with BLM and its public and private partners, </w:t>
      </w:r>
      <w:r w:rsidR="004C17DE">
        <w:rPr>
          <w:bCs/>
          <w:sz w:val="22"/>
        </w:rPr>
        <w:t xml:space="preserve">NEED (Recipient) </w:t>
      </w:r>
      <w:r>
        <w:rPr>
          <w:bCs/>
          <w:sz w:val="22"/>
        </w:rPr>
        <w:t xml:space="preserve">will </w:t>
      </w:r>
      <w:r w:rsidR="008761FB">
        <w:rPr>
          <w:bCs/>
          <w:sz w:val="22"/>
        </w:rPr>
        <w:t xml:space="preserve">provide </w:t>
      </w:r>
      <w:r>
        <w:rPr>
          <w:bCs/>
          <w:sz w:val="22"/>
        </w:rPr>
        <w:t xml:space="preserve">site-specific </w:t>
      </w:r>
      <w:r w:rsidR="008761FB">
        <w:rPr>
          <w:bCs/>
          <w:sz w:val="22"/>
        </w:rPr>
        <w:t>curriculum and staffing assistance to BLM to present programs on a year-round basis</w:t>
      </w:r>
      <w:r>
        <w:rPr>
          <w:bCs/>
          <w:sz w:val="22"/>
        </w:rPr>
        <w:t xml:space="preserve"> at the San Joaquin River Gorge</w:t>
      </w:r>
      <w:proofErr w:type="gramStart"/>
      <w:r>
        <w:rPr>
          <w:bCs/>
          <w:sz w:val="22"/>
        </w:rPr>
        <w:t>.</w:t>
      </w:r>
      <w:r w:rsidR="008761FB">
        <w:rPr>
          <w:bCs/>
          <w:sz w:val="22"/>
        </w:rPr>
        <w:t xml:space="preserve"> </w:t>
      </w:r>
      <w:r w:rsidR="004C17DE">
        <w:rPr>
          <w:bCs/>
          <w:sz w:val="22"/>
        </w:rPr>
        <w:t>NEED</w:t>
      </w:r>
      <w:r w:rsidR="008761FB">
        <w:rPr>
          <w:bCs/>
          <w:sz w:val="22"/>
        </w:rPr>
        <w:t xml:space="preserve"> will</w:t>
      </w:r>
      <w:proofErr w:type="gramEnd"/>
      <w:r w:rsidR="008761FB">
        <w:rPr>
          <w:bCs/>
          <w:sz w:val="22"/>
        </w:rPr>
        <w:t xml:space="preserve"> assist BLM in marketing services and programs to educators, groups and </w:t>
      </w:r>
      <w:r w:rsidR="004C17DE">
        <w:rPr>
          <w:bCs/>
          <w:sz w:val="22"/>
        </w:rPr>
        <w:t xml:space="preserve">the </w:t>
      </w:r>
      <w:r w:rsidR="008761FB">
        <w:rPr>
          <w:bCs/>
          <w:sz w:val="22"/>
        </w:rPr>
        <w:t xml:space="preserve">general public in the central valley region, one of the fastest-growing regions of the state, with a population of over 1.5 million people.  </w:t>
      </w:r>
    </w:p>
    <w:p w:rsidR="008761FB" w:rsidRDefault="008761FB" w:rsidP="008761FB">
      <w:pPr>
        <w:tabs>
          <w:tab w:val="center" w:pos="5040"/>
        </w:tabs>
        <w:ind w:left="660"/>
        <w:rPr>
          <w:bCs/>
          <w:sz w:val="22"/>
        </w:rPr>
      </w:pPr>
    </w:p>
    <w:p w:rsidR="008761FB" w:rsidRDefault="008761FB" w:rsidP="008761FB">
      <w:pPr>
        <w:tabs>
          <w:tab w:val="center" w:pos="5040"/>
        </w:tabs>
        <w:ind w:left="660"/>
        <w:rPr>
          <w:bCs/>
          <w:sz w:val="22"/>
        </w:rPr>
      </w:pPr>
      <w:r>
        <w:rPr>
          <w:bCs/>
          <w:sz w:val="22"/>
        </w:rPr>
        <w:t>In collaboratio</w:t>
      </w:r>
      <w:r w:rsidR="004C17DE">
        <w:rPr>
          <w:bCs/>
          <w:sz w:val="22"/>
        </w:rPr>
        <w:t xml:space="preserve">n with BLM staff and partners, </w:t>
      </w:r>
      <w:proofErr w:type="gramStart"/>
      <w:r w:rsidR="004C17DE">
        <w:rPr>
          <w:bCs/>
          <w:sz w:val="22"/>
        </w:rPr>
        <w:t>NEED</w:t>
      </w:r>
      <w:r>
        <w:rPr>
          <w:bCs/>
          <w:sz w:val="22"/>
        </w:rPr>
        <w:t xml:space="preserve"> will</w:t>
      </w:r>
      <w:proofErr w:type="gramEnd"/>
      <w:r>
        <w:rPr>
          <w:bCs/>
          <w:sz w:val="22"/>
        </w:rPr>
        <w:t xml:space="preserve"> assist</w:t>
      </w:r>
      <w:r w:rsidR="00B97501">
        <w:rPr>
          <w:bCs/>
          <w:sz w:val="22"/>
        </w:rPr>
        <w:t xml:space="preserve"> BLM</w:t>
      </w:r>
      <w:r>
        <w:rPr>
          <w:bCs/>
          <w:sz w:val="22"/>
        </w:rPr>
        <w:t xml:space="preserve"> in developing and providing training and workshops for teachers and non-formal educators. </w:t>
      </w:r>
      <w:r w:rsidR="004C17DE">
        <w:rPr>
          <w:bCs/>
          <w:sz w:val="22"/>
        </w:rPr>
        <w:t xml:space="preserve"> </w:t>
      </w:r>
      <w:proofErr w:type="gramStart"/>
      <w:r w:rsidR="004C17DE">
        <w:rPr>
          <w:bCs/>
          <w:sz w:val="22"/>
        </w:rPr>
        <w:t xml:space="preserve">NEED </w:t>
      </w:r>
      <w:r>
        <w:rPr>
          <w:bCs/>
          <w:sz w:val="22"/>
        </w:rPr>
        <w:t>will</w:t>
      </w:r>
      <w:proofErr w:type="gramEnd"/>
      <w:r>
        <w:rPr>
          <w:bCs/>
          <w:sz w:val="22"/>
        </w:rPr>
        <w:t xml:space="preserve"> assist BLM in evaluating existing programs and products as well as new programs and products for BLM and its partners.</w:t>
      </w:r>
    </w:p>
    <w:p w:rsidR="008761FB" w:rsidRDefault="008761FB" w:rsidP="008761FB">
      <w:pPr>
        <w:tabs>
          <w:tab w:val="center" w:pos="5040"/>
        </w:tabs>
        <w:ind w:left="660"/>
        <w:rPr>
          <w:bCs/>
          <w:sz w:val="22"/>
        </w:rPr>
      </w:pPr>
    </w:p>
    <w:p w:rsidR="008761FB" w:rsidRDefault="004C17DE" w:rsidP="008761FB">
      <w:pPr>
        <w:tabs>
          <w:tab w:val="center" w:pos="5040"/>
        </w:tabs>
        <w:ind w:left="660"/>
        <w:rPr>
          <w:bCs/>
          <w:sz w:val="22"/>
        </w:rPr>
      </w:pPr>
      <w:r>
        <w:rPr>
          <w:bCs/>
          <w:sz w:val="22"/>
        </w:rPr>
        <w:t xml:space="preserve">NEED </w:t>
      </w:r>
      <w:r w:rsidR="008761FB">
        <w:rPr>
          <w:bCs/>
          <w:sz w:val="22"/>
        </w:rPr>
        <w:t>may assist BLM in operating and maintaining program facilities, including the visitor center, Learning Center and outdoor classrooms, trail maintenance, signage, etc..</w:t>
      </w:r>
    </w:p>
    <w:p w:rsidR="008761FB" w:rsidRDefault="008761FB" w:rsidP="008761FB">
      <w:pPr>
        <w:tabs>
          <w:tab w:val="center" w:pos="5040"/>
        </w:tabs>
        <w:ind w:left="660"/>
        <w:rPr>
          <w:bCs/>
          <w:sz w:val="22"/>
        </w:rPr>
      </w:pPr>
    </w:p>
    <w:p w:rsidR="008761FB" w:rsidRDefault="008761FB" w:rsidP="008761FB">
      <w:pPr>
        <w:tabs>
          <w:tab w:val="center" w:pos="5040"/>
        </w:tabs>
        <w:ind w:left="660"/>
        <w:rPr>
          <w:bCs/>
          <w:sz w:val="22"/>
        </w:rPr>
      </w:pPr>
      <w:r>
        <w:rPr>
          <w:bCs/>
          <w:sz w:val="22"/>
        </w:rPr>
        <w:t xml:space="preserve">In collaboration with BLM and its partners, </w:t>
      </w:r>
      <w:proofErr w:type="gramStart"/>
      <w:r w:rsidR="004C17DE">
        <w:rPr>
          <w:bCs/>
          <w:sz w:val="22"/>
        </w:rPr>
        <w:t>NEED</w:t>
      </w:r>
      <w:r>
        <w:rPr>
          <w:bCs/>
          <w:sz w:val="22"/>
        </w:rPr>
        <w:t xml:space="preserve"> will</w:t>
      </w:r>
      <w:proofErr w:type="gramEnd"/>
      <w:r>
        <w:rPr>
          <w:bCs/>
          <w:sz w:val="22"/>
        </w:rPr>
        <w:t xml:space="preserve"> seek grants and external partnerships to assist BLM in creating sustainable, long-term funding for these programs.</w:t>
      </w:r>
    </w:p>
    <w:p w:rsidR="004A1F86" w:rsidRDefault="004A1F86" w:rsidP="004A1F86"/>
    <w:p w:rsidR="004A1F86" w:rsidRDefault="004A1F86" w:rsidP="004A1F86"/>
    <w:p w:rsidR="004A1F86" w:rsidRDefault="004A1F86" w:rsidP="004A1F86">
      <w:pPr>
        <w:jc w:val="center"/>
        <w:rPr>
          <w:b/>
        </w:rPr>
      </w:pPr>
      <w:proofErr w:type="gramStart"/>
      <w:r>
        <w:rPr>
          <w:b/>
        </w:rPr>
        <w:t>BLM  INVOLVEMENT</w:t>
      </w:r>
      <w:proofErr w:type="gramEnd"/>
    </w:p>
    <w:p w:rsidR="004A1F86" w:rsidRPr="00A07CF6" w:rsidRDefault="004A1F86" w:rsidP="004A1F86">
      <w:pPr>
        <w:rPr>
          <w:b/>
        </w:rPr>
      </w:pPr>
    </w:p>
    <w:p w:rsidR="004A1F86" w:rsidRPr="00B97501" w:rsidRDefault="004A1F86" w:rsidP="004A1F86">
      <w:pPr>
        <w:rPr>
          <w:sz w:val="22"/>
          <w:szCs w:val="22"/>
        </w:rPr>
      </w:pPr>
      <w:r w:rsidRPr="00B97501">
        <w:rPr>
          <w:sz w:val="22"/>
          <w:szCs w:val="22"/>
        </w:rPr>
        <w:t>Substantial involvement on the part BLM is anticipated for the successful completion of the objectives to be funded by this award.  In particular, BLM will be responsible for the following:</w:t>
      </w:r>
    </w:p>
    <w:p w:rsidR="00A07CF6" w:rsidRPr="00B97501" w:rsidRDefault="00A07CF6" w:rsidP="004A1F86">
      <w:pPr>
        <w:rPr>
          <w:sz w:val="22"/>
          <w:szCs w:val="22"/>
        </w:rPr>
      </w:pPr>
    </w:p>
    <w:p w:rsidR="004A1F86" w:rsidRPr="00B97501" w:rsidRDefault="00A07CF6" w:rsidP="00A07CF6">
      <w:pPr>
        <w:numPr>
          <w:ilvl w:val="0"/>
          <w:numId w:val="20"/>
        </w:numPr>
        <w:rPr>
          <w:sz w:val="22"/>
          <w:szCs w:val="22"/>
        </w:rPr>
      </w:pPr>
      <w:r w:rsidRPr="00B97501">
        <w:rPr>
          <w:sz w:val="22"/>
          <w:szCs w:val="22"/>
        </w:rPr>
        <w:t>Provide technical assistance on resources to be interpreted, and site-specific information</w:t>
      </w:r>
    </w:p>
    <w:p w:rsidR="004C17DE" w:rsidRPr="00B97501" w:rsidRDefault="004C17DE" w:rsidP="004C17DE">
      <w:pPr>
        <w:ind w:left="720"/>
        <w:rPr>
          <w:sz w:val="22"/>
          <w:szCs w:val="22"/>
        </w:rPr>
      </w:pPr>
    </w:p>
    <w:p w:rsidR="00A07CF6" w:rsidRPr="00B97501" w:rsidRDefault="00A07CF6" w:rsidP="00A07CF6">
      <w:pPr>
        <w:numPr>
          <w:ilvl w:val="0"/>
          <w:numId w:val="20"/>
        </w:numPr>
        <w:rPr>
          <w:sz w:val="22"/>
          <w:szCs w:val="22"/>
        </w:rPr>
      </w:pPr>
      <w:r w:rsidRPr="00B97501">
        <w:rPr>
          <w:sz w:val="22"/>
          <w:szCs w:val="22"/>
        </w:rPr>
        <w:t>BLM shall facilitate the development of  grade-appropriate educational and interpretive programming by sponsoring collaboration among loc</w:t>
      </w:r>
      <w:r w:rsidR="005E3132" w:rsidRPr="00B97501">
        <w:rPr>
          <w:sz w:val="22"/>
          <w:szCs w:val="22"/>
        </w:rPr>
        <w:t xml:space="preserve">al </w:t>
      </w:r>
      <w:r w:rsidRPr="00B97501">
        <w:rPr>
          <w:sz w:val="22"/>
          <w:szCs w:val="22"/>
        </w:rPr>
        <w:t xml:space="preserve"> agency and partner technical experts,  and the local tribal government representatives</w:t>
      </w:r>
    </w:p>
    <w:p w:rsidR="004C17DE" w:rsidRPr="00B97501" w:rsidRDefault="004C17DE" w:rsidP="004C17DE">
      <w:pPr>
        <w:ind w:left="720"/>
        <w:rPr>
          <w:sz w:val="22"/>
          <w:szCs w:val="22"/>
        </w:rPr>
      </w:pPr>
    </w:p>
    <w:p w:rsidR="00A07CF6" w:rsidRPr="00B97501" w:rsidRDefault="00A07CF6" w:rsidP="00A07CF6">
      <w:pPr>
        <w:numPr>
          <w:ilvl w:val="0"/>
          <w:numId w:val="20"/>
        </w:numPr>
        <w:rPr>
          <w:sz w:val="22"/>
          <w:szCs w:val="22"/>
        </w:rPr>
      </w:pPr>
      <w:r w:rsidRPr="00B97501">
        <w:rPr>
          <w:sz w:val="22"/>
          <w:szCs w:val="22"/>
        </w:rPr>
        <w:t>BLM shall define priority program areas and issues and provide resource expertise for the development and review of educational and interpretive materials</w:t>
      </w:r>
    </w:p>
    <w:p w:rsidR="004C17DE" w:rsidRPr="00B97501" w:rsidRDefault="004C17DE" w:rsidP="004C17DE">
      <w:pPr>
        <w:ind w:left="720"/>
        <w:rPr>
          <w:sz w:val="22"/>
          <w:szCs w:val="22"/>
        </w:rPr>
      </w:pPr>
    </w:p>
    <w:p w:rsidR="00A07CF6" w:rsidRPr="00B97501" w:rsidRDefault="00A07CF6" w:rsidP="00A07CF6">
      <w:pPr>
        <w:numPr>
          <w:ilvl w:val="0"/>
          <w:numId w:val="20"/>
        </w:numPr>
        <w:rPr>
          <w:sz w:val="22"/>
          <w:szCs w:val="22"/>
        </w:rPr>
      </w:pPr>
      <w:r w:rsidRPr="00B97501">
        <w:rPr>
          <w:sz w:val="22"/>
          <w:szCs w:val="22"/>
        </w:rPr>
        <w:t xml:space="preserve">BLM shall provide facilities for presentation of programs and projects </w:t>
      </w:r>
      <w:r w:rsidR="004C17DE" w:rsidRPr="00B97501">
        <w:rPr>
          <w:sz w:val="22"/>
          <w:szCs w:val="22"/>
        </w:rPr>
        <w:t xml:space="preserve">, </w:t>
      </w:r>
      <w:r w:rsidR="005E3132" w:rsidRPr="00B97501">
        <w:rPr>
          <w:sz w:val="22"/>
          <w:szCs w:val="22"/>
        </w:rPr>
        <w:t xml:space="preserve">provide project supervision </w:t>
      </w:r>
      <w:r w:rsidRPr="00B97501">
        <w:rPr>
          <w:sz w:val="22"/>
          <w:szCs w:val="22"/>
        </w:rPr>
        <w:t>and funding  NTE $50,000 per year for teacher training, program development, program  review and evaluation of  materials and collaborative marketing strategy and implementation actions</w:t>
      </w:r>
      <w:r w:rsidR="004C17DE" w:rsidRPr="00B97501">
        <w:rPr>
          <w:sz w:val="22"/>
          <w:szCs w:val="22"/>
        </w:rPr>
        <w:t>, and for staffing assistance to present on-site programs</w:t>
      </w:r>
    </w:p>
    <w:p w:rsidR="00A07CF6" w:rsidRPr="00B97501" w:rsidRDefault="00A07CF6" w:rsidP="004C17DE">
      <w:pPr>
        <w:ind w:left="720"/>
        <w:rPr>
          <w:sz w:val="22"/>
          <w:szCs w:val="22"/>
        </w:rPr>
      </w:pPr>
    </w:p>
    <w:p w:rsidR="004A1F86" w:rsidRPr="00B97501" w:rsidRDefault="004A1F86" w:rsidP="004A1F86">
      <w:pPr>
        <w:rPr>
          <w:sz w:val="22"/>
          <w:szCs w:val="22"/>
        </w:rPr>
      </w:pPr>
    </w:p>
    <w:p w:rsidR="004A1F86" w:rsidRDefault="004A1F86" w:rsidP="004A1F86"/>
    <w:p w:rsidR="004A1F86" w:rsidRDefault="004A1F86" w:rsidP="004A1F86">
      <w:pPr>
        <w:jc w:val="center"/>
        <w:rPr>
          <w:b/>
        </w:rPr>
      </w:pPr>
      <w:r>
        <w:rPr>
          <w:b/>
        </w:rPr>
        <w:t>SINGLE-SOURCE JUSTIFICATION</w:t>
      </w:r>
    </w:p>
    <w:p w:rsidR="004A1F86" w:rsidRDefault="004A1F86" w:rsidP="004A1F86"/>
    <w:tbl>
      <w:tblPr>
        <w:tblW w:w="0" w:type="auto"/>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1E0"/>
      </w:tblPr>
      <w:tblGrid>
        <w:gridCol w:w="9288"/>
      </w:tblGrid>
      <w:tr w:rsidR="004A1F86" w:rsidTr="001F1420">
        <w:trPr>
          <w:trHeight w:val="762"/>
        </w:trPr>
        <w:tc>
          <w:tcPr>
            <w:tcW w:w="9288" w:type="dxa"/>
            <w:tcBorders>
              <w:top w:val="double" w:sz="4" w:space="0" w:color="auto"/>
              <w:bottom w:val="double" w:sz="4" w:space="0" w:color="auto"/>
            </w:tcBorders>
            <w:shd w:val="clear" w:color="auto" w:fill="CB9F5B"/>
            <w:vAlign w:val="center"/>
          </w:tcPr>
          <w:p w:rsidR="004A1F86" w:rsidRPr="001F1420" w:rsidRDefault="004A1F86" w:rsidP="001F1420">
            <w:pPr>
              <w:jc w:val="center"/>
              <w:rPr>
                <w:b/>
              </w:rPr>
            </w:pPr>
            <w:r w:rsidRPr="001F1420">
              <w:rPr>
                <w:b/>
              </w:rPr>
              <w:t>DEPARTMENT OF THE INTERIOR</w:t>
            </w:r>
          </w:p>
          <w:p w:rsidR="004A1F86" w:rsidRPr="001F1420" w:rsidRDefault="004A1F86" w:rsidP="001F1420">
            <w:pPr>
              <w:jc w:val="center"/>
              <w:rPr>
                <w:b/>
              </w:rPr>
            </w:pPr>
            <w:r w:rsidRPr="001F1420">
              <w:rPr>
                <w:b/>
              </w:rPr>
              <w:t>SINGLE SOURCE POLICY REQUIREMENTS</w:t>
            </w:r>
          </w:p>
        </w:tc>
      </w:tr>
      <w:tr w:rsidR="004A1F86" w:rsidTr="001F1420">
        <w:tc>
          <w:tcPr>
            <w:tcW w:w="9288" w:type="dxa"/>
            <w:tcBorders>
              <w:top w:val="double" w:sz="4" w:space="0" w:color="auto"/>
            </w:tcBorders>
          </w:tcPr>
          <w:p w:rsidR="004A1F86" w:rsidRDefault="004A1F86" w:rsidP="00CB559F"/>
          <w:p w:rsidR="004A1F86" w:rsidRDefault="004A1F86" w:rsidP="00CB559F">
            <w:r>
              <w:t>Department of the Interior Policy (505 DM 2) requires a written justification which explains why competition is not practicable for each single-source award.  The justification must address one or more of the following criteria as well as discussion of the program legislative history, unique capabilities of the proposed recipient, and cost-sharing contribution offered by the proposed recipient, as applicable.</w:t>
            </w:r>
          </w:p>
          <w:p w:rsidR="004A1F86" w:rsidRDefault="004A1F86" w:rsidP="00CB559F"/>
        </w:tc>
      </w:tr>
      <w:tr w:rsidR="004A1F86" w:rsidTr="001F1420">
        <w:tc>
          <w:tcPr>
            <w:tcW w:w="9288" w:type="dxa"/>
          </w:tcPr>
          <w:p w:rsidR="004A1F86" w:rsidRDefault="004A1F86" w:rsidP="00CB559F"/>
          <w:p w:rsidR="004A1F86" w:rsidRDefault="004A1F86" w:rsidP="00CB559F">
            <w:r>
              <w:t>In order for an assistance award to be made without competition, the award must satisfy one or more of the following criteria:</w:t>
            </w:r>
          </w:p>
          <w:p w:rsidR="004A1F86" w:rsidRDefault="004A1F86" w:rsidP="00CB559F"/>
          <w:p w:rsidR="004A1F86" w:rsidRDefault="004A1F86" w:rsidP="001F1420">
            <w:pPr>
              <w:widowControl/>
              <w:numPr>
                <w:ilvl w:val="0"/>
                <w:numId w:val="17"/>
              </w:numPr>
              <w:tabs>
                <w:tab w:val="clear" w:pos="2376"/>
                <w:tab w:val="num" w:pos="720"/>
              </w:tabs>
              <w:autoSpaceDE/>
              <w:autoSpaceDN/>
              <w:adjustRightInd/>
              <w:ind w:left="720"/>
            </w:pPr>
            <w:r>
              <w:t>Unsolicited Proposal – The proposed award is the result of an unsolicited assistance application which represents a unique or innovative idea, method, or approach which is not the subject of a current or planned contract or assistance award, but which is deemed advantageous to the program objectives;</w:t>
            </w:r>
          </w:p>
          <w:p w:rsidR="004A1F86" w:rsidRDefault="004A1F86" w:rsidP="00CB559F"/>
          <w:p w:rsidR="004A1F86" w:rsidRDefault="004A1F86" w:rsidP="001F1420">
            <w:pPr>
              <w:widowControl/>
              <w:numPr>
                <w:ilvl w:val="0"/>
                <w:numId w:val="17"/>
              </w:numPr>
              <w:tabs>
                <w:tab w:val="clear" w:pos="2376"/>
                <w:tab w:val="num" w:pos="720"/>
              </w:tabs>
              <w:autoSpaceDE/>
              <w:autoSpaceDN/>
              <w:adjustRightInd/>
              <w:ind w:left="720"/>
            </w:pPr>
            <w:r>
              <w:t>Continuation – The activity to be funded is necessary to the satisfactory completion of, or is a continuation of an activity presently being funded, and for which competition would have a significant adverse effect on the continuity or completion of the activity;</w:t>
            </w:r>
          </w:p>
          <w:p w:rsidR="004A1F86" w:rsidRDefault="004A1F86" w:rsidP="00CB559F"/>
          <w:p w:rsidR="004A1F86" w:rsidRDefault="004A1F86" w:rsidP="001F1420">
            <w:pPr>
              <w:widowControl/>
              <w:numPr>
                <w:ilvl w:val="0"/>
                <w:numId w:val="17"/>
              </w:numPr>
              <w:tabs>
                <w:tab w:val="clear" w:pos="2376"/>
                <w:tab w:val="num" w:pos="720"/>
              </w:tabs>
              <w:autoSpaceDE/>
              <w:autoSpaceDN/>
              <w:adjustRightInd/>
              <w:ind w:left="720"/>
            </w:pPr>
            <w:r>
              <w:t>Legislative intent – The language in the applicable authorizing legislation or legislative history clearly indicates Congress’ intent to restrict the award to a particular recipient of purpose;</w:t>
            </w:r>
          </w:p>
          <w:p w:rsidR="004A1F86" w:rsidRDefault="004A1F86" w:rsidP="00CB559F"/>
          <w:p w:rsidR="004A1F86" w:rsidRDefault="004A1F86" w:rsidP="001F1420">
            <w:pPr>
              <w:widowControl/>
              <w:numPr>
                <w:ilvl w:val="0"/>
                <w:numId w:val="17"/>
              </w:numPr>
              <w:tabs>
                <w:tab w:val="clear" w:pos="2376"/>
                <w:tab w:val="num" w:pos="720"/>
              </w:tabs>
              <w:autoSpaceDE/>
              <w:autoSpaceDN/>
              <w:adjustRightInd/>
              <w:ind w:left="720"/>
            </w:pPr>
            <w:r>
              <w:t>Unique Qualifications – The applicant is uniquely qualified to perform the activity based upon a variety of demonstrable factors such as location, property ownership, voluntary support capacity, cost-sharing ability if applicable, technical expertise, or other such unique qualifications;</w:t>
            </w:r>
          </w:p>
          <w:p w:rsidR="004A1F86" w:rsidRDefault="004A1F86" w:rsidP="00CB559F"/>
          <w:p w:rsidR="004A1F86" w:rsidRDefault="004A1F86" w:rsidP="001F1420">
            <w:pPr>
              <w:widowControl/>
              <w:numPr>
                <w:ilvl w:val="0"/>
                <w:numId w:val="17"/>
              </w:numPr>
              <w:tabs>
                <w:tab w:val="clear" w:pos="2376"/>
                <w:tab w:val="num" w:pos="720"/>
              </w:tabs>
              <w:autoSpaceDE/>
              <w:autoSpaceDN/>
              <w:adjustRightInd/>
              <w:ind w:left="720"/>
            </w:pPr>
            <w:r>
              <w:t>Emergencies – Program/award where there is insufficient time available (due to a compelling and unusual urgency, or substantial danger to health or safety) for adequate competitive procedures to be followed.</w:t>
            </w:r>
          </w:p>
          <w:p w:rsidR="004A1F86" w:rsidRDefault="004A1F86" w:rsidP="00CB559F"/>
        </w:tc>
      </w:tr>
    </w:tbl>
    <w:p w:rsidR="004A1F86" w:rsidRDefault="004A1F86" w:rsidP="004A1F86"/>
    <w:p w:rsidR="004A1F86" w:rsidRDefault="004A1F86" w:rsidP="004A1F86">
      <w:r>
        <w:t>BLM did not solicit full and open competition for this award based the following criteria:</w:t>
      </w:r>
    </w:p>
    <w:p w:rsidR="004A1F86" w:rsidRPr="005E3132" w:rsidRDefault="005E3132" w:rsidP="004A1F86">
      <w:pPr>
        <w:rPr>
          <w:color w:val="0000FF"/>
        </w:rPr>
      </w:pPr>
      <w:r>
        <w:rPr>
          <w:color w:val="0000FF"/>
        </w:rPr>
        <w:t>(2) CONTINUATION</w:t>
      </w:r>
    </w:p>
    <w:p w:rsidR="004A1F86" w:rsidRPr="005C5E43" w:rsidRDefault="004A1F86" w:rsidP="004A1F86">
      <w:pPr>
        <w:rPr>
          <w:b/>
          <w:caps/>
          <w:color w:val="0000FF"/>
        </w:rPr>
      </w:pPr>
      <w:r w:rsidRPr="005E3132">
        <w:rPr>
          <w:b/>
          <w:caps/>
          <w:color w:val="0000FF"/>
        </w:rPr>
        <w:t>(4) Unique</w:t>
      </w:r>
      <w:r w:rsidRPr="005C5E43">
        <w:rPr>
          <w:b/>
          <w:caps/>
          <w:color w:val="0000FF"/>
        </w:rPr>
        <w:t xml:space="preserve"> Qualifications</w:t>
      </w:r>
    </w:p>
    <w:p w:rsidR="004A1F86" w:rsidRDefault="004A1F86" w:rsidP="004A1F86"/>
    <w:p w:rsidR="004A1F86" w:rsidRDefault="004A1F86" w:rsidP="004A1F86">
      <w:pPr>
        <w:jc w:val="center"/>
        <w:rPr>
          <w:b/>
        </w:rPr>
      </w:pPr>
      <w:r>
        <w:rPr>
          <w:b/>
        </w:rPr>
        <w:t>Single Source Justification Description:</w:t>
      </w:r>
    </w:p>
    <w:p w:rsidR="004A1F86" w:rsidRDefault="004A1F86" w:rsidP="004A1F86">
      <w:r w:rsidRPr="00C7289A">
        <w:t xml:space="preserve"> </w:t>
      </w:r>
      <w:r w:rsidR="00B10CC2">
        <w:t>This award is made to the National Energy Education and Development Project as BLM has had an on-going partnership with this organization since 2004, collaborating on the development of materials that highlight the role of BLM in meeting the nation’s energy needs</w:t>
      </w:r>
      <w:r w:rsidR="00DC3188">
        <w:t xml:space="preserve">.  The San Joaquin River Gorge “Hands on the Land” </w:t>
      </w:r>
      <w:proofErr w:type="gramStart"/>
      <w:r w:rsidR="00DC3188">
        <w:t xml:space="preserve">program </w:t>
      </w:r>
      <w:r w:rsidR="00B10CC2">
        <w:t xml:space="preserve"> is</w:t>
      </w:r>
      <w:proofErr w:type="gramEnd"/>
      <w:r w:rsidR="00B10CC2">
        <w:t xml:space="preserve"> a continuation of this partnership, and brings the national relationship to the local level.  NEED will work with BLM to adapt its existing energy education curriculum to fit local resources and environments</w:t>
      </w:r>
      <w:proofErr w:type="gramStart"/>
      <w:r w:rsidR="00B10CC2">
        <w:t xml:space="preserve">, </w:t>
      </w:r>
      <w:r w:rsidR="00DC3188">
        <w:t xml:space="preserve"> </w:t>
      </w:r>
      <w:r w:rsidR="00B10CC2">
        <w:t>providing</w:t>
      </w:r>
      <w:proofErr w:type="gramEnd"/>
      <w:r w:rsidR="00B10CC2">
        <w:t xml:space="preserve"> high-quality, customized educational programming that meets California Standards for grades K-12.  By continuing this relationship and adapting existing curriculum, BLM will maximize time and financial investment in improving existing educational and interpretive programming.  In addition, based on what has been learned from this partnership </w:t>
      </w:r>
      <w:proofErr w:type="gramStart"/>
      <w:r w:rsidR="00B10CC2">
        <w:t>and  past</w:t>
      </w:r>
      <w:proofErr w:type="gramEnd"/>
      <w:r w:rsidR="00B10CC2">
        <w:t xml:space="preserve"> program efforts, such as the development of the California version of “Get Energized”</w:t>
      </w:r>
      <w:r w:rsidR="00DC3188">
        <w:t xml:space="preserve"> an</w:t>
      </w:r>
      <w:r w:rsidR="00B10CC2">
        <w:t xml:space="preserve"> interactive CDROM, </w:t>
      </w:r>
      <w:r w:rsidR="00DC3188">
        <w:t xml:space="preserve"> </w:t>
      </w:r>
      <w:r w:rsidR="00B10CC2">
        <w:t xml:space="preserve">BLM can move forward to create new  educational programs </w:t>
      </w:r>
      <w:r w:rsidR="00DC3188">
        <w:t xml:space="preserve">which expand these topics </w:t>
      </w:r>
      <w:r w:rsidR="00B10CC2">
        <w:t>with a minimum of start up costs</w:t>
      </w:r>
      <w:r w:rsidR="00DC3188">
        <w:t>.  NEED is a highly-skilled</w:t>
      </w:r>
      <w:r w:rsidR="0034269F">
        <w:t>, non-profit</w:t>
      </w:r>
      <w:r w:rsidR="00DC3188">
        <w:t xml:space="preserve"> organization </w:t>
      </w:r>
      <w:r w:rsidR="00B97501">
        <w:t xml:space="preserve">specializing in energy education, </w:t>
      </w:r>
      <w:r w:rsidR="00DC3188">
        <w:t xml:space="preserve">with a broad array of public </w:t>
      </w:r>
      <w:proofErr w:type="gramStart"/>
      <w:r w:rsidR="00DC3188">
        <w:t xml:space="preserve">and </w:t>
      </w:r>
      <w:r w:rsidR="0034269F">
        <w:t xml:space="preserve"> </w:t>
      </w:r>
      <w:r w:rsidR="00DC3188">
        <w:t>pr</w:t>
      </w:r>
      <w:r w:rsidR="00B97501">
        <w:t>ivate</w:t>
      </w:r>
      <w:proofErr w:type="gramEnd"/>
      <w:r w:rsidR="00B97501">
        <w:t xml:space="preserve"> partnerships.  NEED’s teacher networks  and array of corporate sponsors</w:t>
      </w:r>
      <w:r w:rsidR="00DC3188">
        <w:t xml:space="preserve"> will be of great benefit to BLM both in marketing the programs and products which a</w:t>
      </w:r>
      <w:r w:rsidR="0034269F">
        <w:t xml:space="preserve">re collaboratively produced,  and </w:t>
      </w:r>
      <w:r w:rsidR="00DC3188">
        <w:t>also be of great benefit in enhancing program funding.  NEED has an excellent track record of fundraising to meet mutual goals and objectives</w:t>
      </w:r>
      <w:r w:rsidR="0034269F">
        <w:t>, bringing government and private partners such as energy corporations together.</w:t>
      </w:r>
    </w:p>
    <w:p w:rsidR="004A1F86" w:rsidRPr="00683645" w:rsidRDefault="004A1F86" w:rsidP="004A1F86"/>
    <w:p w:rsidR="004A1F86" w:rsidRDefault="004A1F86" w:rsidP="004A1F86">
      <w:pPr>
        <w:jc w:val="center"/>
        <w:rPr>
          <w:b/>
        </w:rPr>
      </w:pPr>
    </w:p>
    <w:p w:rsidR="004A1F86" w:rsidRPr="00E70EBA" w:rsidRDefault="0034269F" w:rsidP="004A1F86">
      <w:pPr>
        <w:jc w:val="center"/>
        <w:rPr>
          <w:b/>
        </w:rPr>
      </w:pPr>
      <w:r>
        <w:rPr>
          <w:b/>
        </w:rPr>
        <w:t>S</w:t>
      </w:r>
      <w:r w:rsidR="004A1F86">
        <w:rPr>
          <w:b/>
        </w:rPr>
        <w:t>TATUTORY AUTHORITY</w:t>
      </w:r>
    </w:p>
    <w:p w:rsidR="004A1F86" w:rsidRDefault="004A1F86" w:rsidP="004A1F86"/>
    <w:p w:rsidR="00B10CC2" w:rsidRPr="00B10CC2" w:rsidRDefault="00B10CC2" w:rsidP="004A1F86"/>
    <w:p w:rsidR="0060014E" w:rsidRDefault="00B10CC2" w:rsidP="0060014E">
      <w:pPr>
        <w:ind w:left="-288"/>
        <w:rPr>
          <w:rFonts w:ascii="CG Times" w:hAnsi="CG Times"/>
          <w:b/>
          <w:sz w:val="28"/>
        </w:rPr>
      </w:pPr>
      <w:r>
        <w:t>Federal Land Policy and Management Act of 1976 (Public Law 94-579, Section 307(b)</w:t>
      </w:r>
      <w:proofErr w:type="gramStart"/>
      <w:r>
        <w:t>)</w:t>
      </w:r>
      <w:r w:rsidR="0060014E" w:rsidRPr="0060014E">
        <w:t xml:space="preserve"> </w:t>
      </w:r>
      <w:r w:rsidR="0060014E">
        <w:t>)</w:t>
      </w:r>
      <w:proofErr w:type="gramEnd"/>
      <w:r w:rsidR="0060014E">
        <w:t>)….”(b) Subject to provisions of applicable law, the Secretary may enter into contracts and cooperative agreements involving the management, protection, development and sale of public lands.”</w:t>
      </w:r>
    </w:p>
    <w:p w:rsidR="004A1F86" w:rsidRDefault="004A1F86">
      <w:pPr>
        <w:ind w:left="-288"/>
        <w:rPr>
          <w:rFonts w:ascii="CG Times" w:hAnsi="CG Times"/>
          <w:b/>
          <w:sz w:val="28"/>
        </w:rPr>
      </w:pPr>
    </w:p>
    <w:sectPr w:rsidR="004A1F86" w:rsidSect="004A1F86">
      <w:footerReference w:type="even" r:id="rId9"/>
      <w:footerReference w:type="default" r:id="rId10"/>
      <w:pgSz w:w="12240" w:h="15840"/>
      <w:pgMar w:top="1260" w:right="990" w:bottom="1260" w:left="720"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DE7" w:rsidRDefault="003B7DE7">
      <w:r>
        <w:separator/>
      </w:r>
    </w:p>
  </w:endnote>
  <w:endnote w:type="continuationSeparator" w:id="1">
    <w:p w:rsidR="003B7DE7" w:rsidRDefault="003B7DE7">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dale Mono">
    <w:altName w:val="Arial Narrow"/>
    <w:charset w:val="00"/>
    <w:family w:val="modern"/>
    <w:pitch w:val="fixed"/>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F86" w:rsidRDefault="00DB1EFC">
    <w:pPr>
      <w:pStyle w:val="Footer"/>
      <w:framePr w:wrap="around" w:vAnchor="text" w:hAnchor="margin" w:xAlign="right" w:y="1"/>
      <w:rPr>
        <w:rStyle w:val="PageNumber"/>
      </w:rPr>
    </w:pPr>
    <w:r>
      <w:rPr>
        <w:rStyle w:val="PageNumber"/>
      </w:rPr>
      <w:fldChar w:fldCharType="begin"/>
    </w:r>
    <w:r w:rsidR="004A1F86">
      <w:rPr>
        <w:rStyle w:val="PageNumber"/>
      </w:rPr>
      <w:instrText xml:space="preserve">PAGE  </w:instrText>
    </w:r>
    <w:r>
      <w:rPr>
        <w:rStyle w:val="PageNumber"/>
      </w:rPr>
      <w:fldChar w:fldCharType="end"/>
    </w:r>
  </w:p>
  <w:p w:rsidR="004A1F86" w:rsidRDefault="004A1F8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F86" w:rsidRDefault="00DB1EFC">
    <w:pPr>
      <w:pStyle w:val="Footer"/>
      <w:framePr w:wrap="around" w:vAnchor="text" w:hAnchor="margin" w:xAlign="right" w:y="1"/>
      <w:rPr>
        <w:rStyle w:val="PageNumber"/>
      </w:rPr>
    </w:pPr>
    <w:r>
      <w:rPr>
        <w:rStyle w:val="PageNumber"/>
      </w:rPr>
      <w:fldChar w:fldCharType="begin"/>
    </w:r>
    <w:r w:rsidR="004A1F86">
      <w:rPr>
        <w:rStyle w:val="PageNumber"/>
      </w:rPr>
      <w:instrText xml:space="preserve">PAGE  </w:instrText>
    </w:r>
    <w:r>
      <w:rPr>
        <w:rStyle w:val="PageNumber"/>
      </w:rPr>
      <w:fldChar w:fldCharType="separate"/>
    </w:r>
    <w:r w:rsidR="006630AC">
      <w:rPr>
        <w:rStyle w:val="PageNumber"/>
        <w:noProof/>
      </w:rPr>
      <w:t>4</w:t>
    </w:r>
    <w:r>
      <w:rPr>
        <w:rStyle w:val="PageNumber"/>
      </w:rPr>
      <w:fldChar w:fldCharType="end"/>
    </w:r>
  </w:p>
  <w:p w:rsidR="004A1F86" w:rsidRDefault="004A1F86">
    <w:pPr>
      <w:pStyle w:val="Footer"/>
      <w:ind w:right="360"/>
      <w:jc w:val="right"/>
    </w:pPr>
    <w:r>
      <w:tab/>
      <w:t>-  -</w:t>
    </w:r>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DE7" w:rsidRDefault="003B7DE7">
      <w:r>
        <w:separator/>
      </w:r>
    </w:p>
  </w:footnote>
  <w:footnote w:type="continuationSeparator" w:id="1">
    <w:p w:rsidR="003B7DE7" w:rsidRDefault="003B7D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lvl>
    <w:lvl w:ilvl="1">
      <w:start w:val="1"/>
      <w:numFmt w:val="decimal"/>
      <w:pStyle w:val="Level2"/>
      <w:lvlText w:val="%2."/>
      <w:lvlJc w:val="left"/>
      <w:pPr>
        <w:tabs>
          <w:tab w:val="num" w:pos="1440"/>
        </w:tabs>
        <w:ind w:left="1440" w:hanging="720"/>
      </w:pPr>
      <w:rPr>
        <w:rFonts w:ascii="Univers" w:hAnsi="Univers" w:cs="Times New Roman"/>
        <w:sz w:val="22"/>
        <w:szCs w:val="22"/>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000002"/>
    <w:multiLevelType w:val="multilevel"/>
    <w:tmpl w:val="00000000"/>
    <w:lvl w:ilvl="0">
      <w:start w:val="1"/>
      <w:numFmt w:val="upperLetter"/>
      <w:lvlText w:val="%1."/>
      <w:lvlJc w:val="left"/>
      <w:pPr>
        <w:tabs>
          <w:tab w:val="num" w:pos="720"/>
        </w:tabs>
        <w:ind w:left="720" w:hanging="720"/>
      </w:pPr>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
    <w:nsid w:val="00000003"/>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18773499"/>
    <w:multiLevelType w:val="hybridMultilevel"/>
    <w:tmpl w:val="314A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D3631"/>
    <w:multiLevelType w:val="hybridMultilevel"/>
    <w:tmpl w:val="CD8AC6DC"/>
    <w:lvl w:ilvl="0" w:tplc="04090015">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A533E66"/>
    <w:multiLevelType w:val="hybridMultilevel"/>
    <w:tmpl w:val="3844E546"/>
    <w:lvl w:ilvl="0" w:tplc="6F0EC460">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E306B9A"/>
    <w:multiLevelType w:val="hybridMultilevel"/>
    <w:tmpl w:val="65AA9388"/>
    <w:lvl w:ilvl="0" w:tplc="79647B44">
      <w:start w:val="1"/>
      <w:numFmt w:val="upperLetter"/>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3F7B1F44"/>
    <w:multiLevelType w:val="hybridMultilevel"/>
    <w:tmpl w:val="3B406048"/>
    <w:lvl w:ilvl="0" w:tplc="FFFFFFFF">
      <w:start w:val="1"/>
      <w:numFmt w:val="lowerLetter"/>
      <w:lvlText w:val="%1."/>
      <w:lvlJc w:val="left"/>
      <w:pPr>
        <w:tabs>
          <w:tab w:val="num" w:pos="2520"/>
        </w:tabs>
        <w:ind w:left="25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F851E4A"/>
    <w:multiLevelType w:val="hybridMultilevel"/>
    <w:tmpl w:val="5D52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8B2342"/>
    <w:multiLevelType w:val="hybridMultilevel"/>
    <w:tmpl w:val="0E2C2EE8"/>
    <w:lvl w:ilvl="0" w:tplc="C3F4F4D2">
      <w:start w:val="1"/>
      <w:numFmt w:val="upperLetter"/>
      <w:lvlText w:val="%1."/>
      <w:lvlJc w:val="left"/>
      <w:pPr>
        <w:tabs>
          <w:tab w:val="num" w:pos="720"/>
        </w:tabs>
        <w:ind w:left="720" w:hanging="360"/>
      </w:pPr>
      <w:rPr>
        <w:rFonts w:ascii="Times New Roman" w:eastAsia="Times New Roman" w:hAnsi="Times New Roman" w:cs="Times New Roman"/>
      </w:rPr>
    </w:lvl>
    <w:lvl w:ilvl="1" w:tplc="FD7AFACC">
      <w:start w:val="3"/>
      <w:numFmt w:val="upperLetter"/>
      <w:lvlText w:val="%2."/>
      <w:lvlJc w:val="left"/>
      <w:pPr>
        <w:tabs>
          <w:tab w:val="num" w:pos="1440"/>
        </w:tabs>
        <w:ind w:left="1440" w:hanging="360"/>
      </w:pPr>
      <w:rPr>
        <w:rFonts w:hint="default"/>
      </w:rPr>
    </w:lvl>
    <w:lvl w:ilvl="2" w:tplc="0686C11C">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F245E9"/>
    <w:multiLevelType w:val="hybridMultilevel"/>
    <w:tmpl w:val="6B96E868"/>
    <w:lvl w:ilvl="0" w:tplc="A724B818">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1">
    <w:nsid w:val="503B322B"/>
    <w:multiLevelType w:val="multilevel"/>
    <w:tmpl w:val="A664EC30"/>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526E13F9"/>
    <w:multiLevelType w:val="hybridMultilevel"/>
    <w:tmpl w:val="B7F47982"/>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3">
    <w:nsid w:val="57B80222"/>
    <w:multiLevelType w:val="hybridMultilevel"/>
    <w:tmpl w:val="ED7ADF0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
    <w:nsid w:val="5D913D1A"/>
    <w:multiLevelType w:val="hybridMultilevel"/>
    <w:tmpl w:val="8A92A46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620B0DF1"/>
    <w:multiLevelType w:val="hybridMultilevel"/>
    <w:tmpl w:val="FFB460B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6C3E55D7"/>
    <w:multiLevelType w:val="multilevel"/>
    <w:tmpl w:val="9790106E"/>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260"/>
        </w:tabs>
        <w:ind w:left="900" w:firstLine="0"/>
      </w:pPr>
      <w:rPr>
        <w:b/>
      </w:r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7">
    <w:nsid w:val="6F5842FA"/>
    <w:multiLevelType w:val="hybridMultilevel"/>
    <w:tmpl w:val="719AA9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74142C5"/>
    <w:multiLevelType w:val="hybridMultilevel"/>
    <w:tmpl w:val="8260272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rPr>
        <w:rFonts w:hint="default"/>
        <w:b w:val="0"/>
      </w:rPr>
    </w:lvl>
    <w:lvl w:ilvl="2" w:tplc="FFFFFFFF">
      <w:start w:val="1"/>
      <w:numFmt w:val="decimal"/>
      <w:lvlText w:val="%3."/>
      <w:lvlJc w:val="left"/>
      <w:pPr>
        <w:tabs>
          <w:tab w:val="num" w:pos="3420"/>
        </w:tabs>
        <w:ind w:left="3420" w:hanging="360"/>
      </w:pPr>
      <w:rPr>
        <w:rFonts w:hint="default"/>
      </w:rPr>
    </w:lvl>
    <w:lvl w:ilvl="3" w:tplc="FFFFFFFF">
      <w:start w:val="4"/>
      <w:numFmt w:val="upperLetter"/>
      <w:lvlText w:val="%4."/>
      <w:lvlJc w:val="left"/>
      <w:pPr>
        <w:tabs>
          <w:tab w:val="num" w:pos="3960"/>
        </w:tabs>
        <w:ind w:left="3960" w:hanging="360"/>
      </w:pPr>
      <w:rPr>
        <w:rFonts w:hint="default"/>
      </w:r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9">
    <w:nsid w:val="7784549E"/>
    <w:multiLevelType w:val="hybridMultilevel"/>
    <w:tmpl w:val="FD461674"/>
    <w:lvl w:ilvl="0" w:tplc="A768CDAC">
      <w:start w:val="1"/>
      <w:numFmt w:val="decimal"/>
      <w:lvlText w:val="(%1)"/>
      <w:lvlJc w:val="left"/>
      <w:pPr>
        <w:tabs>
          <w:tab w:val="num" w:pos="2376"/>
        </w:tabs>
        <w:ind w:left="2376" w:hanging="3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8C57D2F"/>
    <w:multiLevelType w:val="hybridMultilevel"/>
    <w:tmpl w:val="339EAF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E33C145A">
      <w:start w:val="1"/>
      <w:numFmt w:val="decimal"/>
      <w:lvlText w:val="%4."/>
      <w:lvlJc w:val="left"/>
      <w:pPr>
        <w:tabs>
          <w:tab w:val="num" w:pos="2880"/>
        </w:tabs>
        <w:ind w:left="2880" w:hanging="360"/>
      </w:pPr>
      <w:rPr>
        <w:color w:val="auto"/>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startOverride w:val="1"/>
      <w:lvl w:ilvl="0">
        <w:start w:val="1"/>
        <w:numFmt w:val="decimal"/>
        <w:lvlText w:val="%1"/>
        <w:lvlJc w:val="left"/>
      </w:lvl>
    </w:lvlOverride>
    <w:lvlOverride w:ilvl="1">
      <w:startOverride w:val="7"/>
      <w:lvl w:ilvl="1">
        <w:start w:val="7"/>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8"/>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6"/>
  </w:num>
  <w:num w:numId="6">
    <w:abstractNumId w:val="9"/>
  </w:num>
  <w:num w:numId="7">
    <w:abstractNumId w:val="5"/>
  </w:num>
  <w:num w:numId="8">
    <w:abstractNumId w:val="4"/>
  </w:num>
  <w:num w:numId="9">
    <w:abstractNumId w:val="6"/>
  </w:num>
  <w:num w:numId="10">
    <w:abstractNumId w:val="17"/>
  </w:num>
  <w:num w:numId="11">
    <w:abstractNumId w:val="14"/>
  </w:num>
  <w:num w:numId="12">
    <w:abstractNumId w:val="15"/>
  </w:num>
  <w:num w:numId="13">
    <w:abstractNumId w:val="20"/>
  </w:num>
  <w:num w:numId="14">
    <w:abstractNumId w:val="11"/>
  </w:num>
  <w:num w:numId="15">
    <w:abstractNumId w:val="10"/>
  </w:num>
  <w:num w:numId="16">
    <w:abstractNumId w:val="12"/>
  </w:num>
  <w:num w:numId="17">
    <w:abstractNumId w:val="19"/>
  </w:num>
  <w:num w:numId="18">
    <w:abstractNumId w:val="2"/>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9">
    <w:abstractNumId w:val="1"/>
    <w:lvlOverride w:ilvl="0">
      <w:startOverride w:val="2"/>
      <w:lvl w:ilvl="0">
        <w:start w:val="2"/>
        <w:numFmt w:val="upperLetter"/>
        <w:lvlText w:val="%1."/>
        <w:lvlJc w:val="left"/>
      </w:lvl>
    </w:lvlOverride>
    <w:lvlOverride w:ilvl="1">
      <w:startOverride w:val="1"/>
      <w:lvl w:ilvl="1">
        <w:start w:val="1"/>
        <w:numFmt w:val="upperLetter"/>
        <w:lvlText w:val="%2."/>
        <w:lvlJc w:val="left"/>
      </w:lvl>
    </w:lvlOverride>
    <w:lvlOverride w:ilvl="2">
      <w:startOverride w:val="1"/>
      <w:lvl w:ilvl="2">
        <w:start w:val="1"/>
        <w:numFmt w:val="upperLetter"/>
        <w:lvlText w:val="%3."/>
        <w:lvlJc w:val="left"/>
      </w:lvl>
    </w:lvlOverride>
    <w:lvlOverride w:ilvl="3">
      <w:startOverride w:val="1"/>
      <w:lvl w:ilvl="3">
        <w:start w:val="1"/>
        <w:numFmt w:val="upperLetter"/>
        <w:lvlText w:val="%4."/>
        <w:lvlJc w:val="left"/>
      </w:lvl>
    </w:lvlOverride>
    <w:lvlOverride w:ilvl="4">
      <w:startOverride w:val="1"/>
      <w:lvl w:ilvl="4">
        <w:start w:val="1"/>
        <w:numFmt w:val="upperLetter"/>
        <w:lvlText w:val="%5."/>
        <w:lvlJc w:val="left"/>
      </w:lvl>
    </w:lvlOverride>
    <w:lvlOverride w:ilvl="5">
      <w:startOverride w:val="1"/>
      <w:lvl w:ilvl="5">
        <w:start w:val="1"/>
        <w:numFmt w:val="upperLetter"/>
        <w:lvlText w:val="%6."/>
        <w:lvlJc w:val="left"/>
      </w:lvl>
    </w:lvlOverride>
    <w:lvlOverride w:ilvl="6">
      <w:startOverride w:val="1"/>
      <w:lvl w:ilvl="6">
        <w:start w:val="1"/>
        <w:numFmt w:val="upperLetter"/>
        <w:lvlText w:val="%7."/>
        <w:lvlJc w:val="left"/>
      </w:lvl>
    </w:lvlOverride>
    <w:lvlOverride w:ilvl="7">
      <w:startOverride w:val="1"/>
      <w:lvl w:ilvl="7">
        <w:start w:val="1"/>
        <w:numFmt w:val="upperLetter"/>
        <w:lvlText w:val="%8."/>
        <w:lvlJc w:val="left"/>
      </w:lvl>
    </w:lvlOverride>
  </w:num>
  <w:num w:numId="20">
    <w:abstractNumId w:val="3"/>
  </w:num>
  <w:num w:numId="21">
    <w:abstractNumId w:val="13"/>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Pr>
  <w:endnotePr>
    <w:endnote w:id="0"/>
    <w:endnote w:id="1"/>
  </w:endnotePr>
  <w:compat/>
  <w:rsids>
    <w:rsidRoot w:val="00C676A0"/>
    <w:rsid w:val="000003A2"/>
    <w:rsid w:val="000172B8"/>
    <w:rsid w:val="000177B5"/>
    <w:rsid w:val="00017A09"/>
    <w:rsid w:val="00041302"/>
    <w:rsid w:val="0005023A"/>
    <w:rsid w:val="00051155"/>
    <w:rsid w:val="000520B6"/>
    <w:rsid w:val="000528FE"/>
    <w:rsid w:val="00057693"/>
    <w:rsid w:val="00060924"/>
    <w:rsid w:val="000613C4"/>
    <w:rsid w:val="000844E3"/>
    <w:rsid w:val="00090BCA"/>
    <w:rsid w:val="000925BE"/>
    <w:rsid w:val="000A5080"/>
    <w:rsid w:val="000B57B2"/>
    <w:rsid w:val="000D7753"/>
    <w:rsid w:val="000F2102"/>
    <w:rsid w:val="00101EC9"/>
    <w:rsid w:val="00105B2C"/>
    <w:rsid w:val="00107F97"/>
    <w:rsid w:val="00114850"/>
    <w:rsid w:val="00114DC8"/>
    <w:rsid w:val="00123FA0"/>
    <w:rsid w:val="0012615D"/>
    <w:rsid w:val="00132430"/>
    <w:rsid w:val="00142842"/>
    <w:rsid w:val="00144362"/>
    <w:rsid w:val="00154A8B"/>
    <w:rsid w:val="0016093E"/>
    <w:rsid w:val="00162A2F"/>
    <w:rsid w:val="001634BD"/>
    <w:rsid w:val="00166964"/>
    <w:rsid w:val="00166AB8"/>
    <w:rsid w:val="00167559"/>
    <w:rsid w:val="00174138"/>
    <w:rsid w:val="001A51CE"/>
    <w:rsid w:val="001B25DC"/>
    <w:rsid w:val="001B3C73"/>
    <w:rsid w:val="001B4305"/>
    <w:rsid w:val="001B5A37"/>
    <w:rsid w:val="001B650D"/>
    <w:rsid w:val="001C5A96"/>
    <w:rsid w:val="001C60A2"/>
    <w:rsid w:val="001D2C22"/>
    <w:rsid w:val="001D4966"/>
    <w:rsid w:val="001E5197"/>
    <w:rsid w:val="001F1420"/>
    <w:rsid w:val="002113E7"/>
    <w:rsid w:val="00216FD2"/>
    <w:rsid w:val="0022417C"/>
    <w:rsid w:val="002328BE"/>
    <w:rsid w:val="00237AE4"/>
    <w:rsid w:val="002540B9"/>
    <w:rsid w:val="00257322"/>
    <w:rsid w:val="002601C1"/>
    <w:rsid w:val="00284F75"/>
    <w:rsid w:val="002950A3"/>
    <w:rsid w:val="002B0F83"/>
    <w:rsid w:val="002B7ADB"/>
    <w:rsid w:val="002C08AC"/>
    <w:rsid w:val="002E4551"/>
    <w:rsid w:val="002F1BB0"/>
    <w:rsid w:val="002F2CC8"/>
    <w:rsid w:val="002F6B6B"/>
    <w:rsid w:val="00331E5A"/>
    <w:rsid w:val="00333876"/>
    <w:rsid w:val="00334423"/>
    <w:rsid w:val="0034269F"/>
    <w:rsid w:val="00345615"/>
    <w:rsid w:val="00353D81"/>
    <w:rsid w:val="00355326"/>
    <w:rsid w:val="00371F5C"/>
    <w:rsid w:val="00380250"/>
    <w:rsid w:val="0038112A"/>
    <w:rsid w:val="003A11C8"/>
    <w:rsid w:val="003A5975"/>
    <w:rsid w:val="003B0DB4"/>
    <w:rsid w:val="003B181C"/>
    <w:rsid w:val="003B5ABB"/>
    <w:rsid w:val="003B7DE7"/>
    <w:rsid w:val="003B7DF8"/>
    <w:rsid w:val="003C2E90"/>
    <w:rsid w:val="003C3A1C"/>
    <w:rsid w:val="003C55F7"/>
    <w:rsid w:val="003D2AF8"/>
    <w:rsid w:val="003D37C1"/>
    <w:rsid w:val="003D6CFA"/>
    <w:rsid w:val="003E0987"/>
    <w:rsid w:val="003E354E"/>
    <w:rsid w:val="003E44A3"/>
    <w:rsid w:val="003F2DF8"/>
    <w:rsid w:val="003F5E96"/>
    <w:rsid w:val="00401C29"/>
    <w:rsid w:val="004021F6"/>
    <w:rsid w:val="004029A5"/>
    <w:rsid w:val="00416B3E"/>
    <w:rsid w:val="00417493"/>
    <w:rsid w:val="004203DF"/>
    <w:rsid w:val="00443197"/>
    <w:rsid w:val="00454D48"/>
    <w:rsid w:val="00456A99"/>
    <w:rsid w:val="00457BAB"/>
    <w:rsid w:val="00463451"/>
    <w:rsid w:val="00465F7E"/>
    <w:rsid w:val="004702AE"/>
    <w:rsid w:val="00487DA1"/>
    <w:rsid w:val="00490116"/>
    <w:rsid w:val="00490778"/>
    <w:rsid w:val="004A02B6"/>
    <w:rsid w:val="004A1F86"/>
    <w:rsid w:val="004A6C2B"/>
    <w:rsid w:val="004C17DE"/>
    <w:rsid w:val="004C3D8D"/>
    <w:rsid w:val="004F796C"/>
    <w:rsid w:val="00507F80"/>
    <w:rsid w:val="005104EE"/>
    <w:rsid w:val="005111E2"/>
    <w:rsid w:val="00512E9F"/>
    <w:rsid w:val="0052551F"/>
    <w:rsid w:val="00533ACD"/>
    <w:rsid w:val="005445A8"/>
    <w:rsid w:val="005474D8"/>
    <w:rsid w:val="0055066C"/>
    <w:rsid w:val="00550B47"/>
    <w:rsid w:val="0055395B"/>
    <w:rsid w:val="00556D4C"/>
    <w:rsid w:val="005658FF"/>
    <w:rsid w:val="00566647"/>
    <w:rsid w:val="0057158D"/>
    <w:rsid w:val="00575F97"/>
    <w:rsid w:val="0057671C"/>
    <w:rsid w:val="00581C62"/>
    <w:rsid w:val="0059070C"/>
    <w:rsid w:val="00591987"/>
    <w:rsid w:val="00594EBE"/>
    <w:rsid w:val="0059544A"/>
    <w:rsid w:val="00595E26"/>
    <w:rsid w:val="005A3AC4"/>
    <w:rsid w:val="005B3D9D"/>
    <w:rsid w:val="005C18D3"/>
    <w:rsid w:val="005C52AF"/>
    <w:rsid w:val="005D0188"/>
    <w:rsid w:val="005D227F"/>
    <w:rsid w:val="005D6D0B"/>
    <w:rsid w:val="005D7424"/>
    <w:rsid w:val="005E17FC"/>
    <w:rsid w:val="005E3132"/>
    <w:rsid w:val="005E3D74"/>
    <w:rsid w:val="005F2061"/>
    <w:rsid w:val="005F6363"/>
    <w:rsid w:val="005F63F8"/>
    <w:rsid w:val="0060014E"/>
    <w:rsid w:val="00602CB2"/>
    <w:rsid w:val="00614651"/>
    <w:rsid w:val="0062071A"/>
    <w:rsid w:val="00624A5D"/>
    <w:rsid w:val="0063759A"/>
    <w:rsid w:val="00640988"/>
    <w:rsid w:val="006476DB"/>
    <w:rsid w:val="006630AC"/>
    <w:rsid w:val="00667DA3"/>
    <w:rsid w:val="00674DFD"/>
    <w:rsid w:val="006837BC"/>
    <w:rsid w:val="006A1214"/>
    <w:rsid w:val="006A1FCE"/>
    <w:rsid w:val="006A651C"/>
    <w:rsid w:val="006B779E"/>
    <w:rsid w:val="006C0791"/>
    <w:rsid w:val="006C7415"/>
    <w:rsid w:val="006D6EC5"/>
    <w:rsid w:val="006E362F"/>
    <w:rsid w:val="006F155F"/>
    <w:rsid w:val="006F20A7"/>
    <w:rsid w:val="006F4906"/>
    <w:rsid w:val="006F6299"/>
    <w:rsid w:val="00701135"/>
    <w:rsid w:val="00702FCB"/>
    <w:rsid w:val="00705DE0"/>
    <w:rsid w:val="0070759D"/>
    <w:rsid w:val="00714F66"/>
    <w:rsid w:val="007151EC"/>
    <w:rsid w:val="0071724F"/>
    <w:rsid w:val="00745CF0"/>
    <w:rsid w:val="00747774"/>
    <w:rsid w:val="00751AC2"/>
    <w:rsid w:val="00771AA8"/>
    <w:rsid w:val="00775631"/>
    <w:rsid w:val="007760D3"/>
    <w:rsid w:val="00782781"/>
    <w:rsid w:val="00785438"/>
    <w:rsid w:val="0079098C"/>
    <w:rsid w:val="007A11B8"/>
    <w:rsid w:val="007A60FC"/>
    <w:rsid w:val="007B0830"/>
    <w:rsid w:val="007E227E"/>
    <w:rsid w:val="007E2A24"/>
    <w:rsid w:val="007E4FC9"/>
    <w:rsid w:val="00803E5D"/>
    <w:rsid w:val="0080540D"/>
    <w:rsid w:val="008104E2"/>
    <w:rsid w:val="00823286"/>
    <w:rsid w:val="008238DF"/>
    <w:rsid w:val="00855B4A"/>
    <w:rsid w:val="0087256E"/>
    <w:rsid w:val="008761FB"/>
    <w:rsid w:val="008A50FF"/>
    <w:rsid w:val="008A6551"/>
    <w:rsid w:val="008A7437"/>
    <w:rsid w:val="008B42D6"/>
    <w:rsid w:val="008C0CC1"/>
    <w:rsid w:val="008C3887"/>
    <w:rsid w:val="008E4882"/>
    <w:rsid w:val="008E64D8"/>
    <w:rsid w:val="008F5C8C"/>
    <w:rsid w:val="00900982"/>
    <w:rsid w:val="00903358"/>
    <w:rsid w:val="009247B4"/>
    <w:rsid w:val="00924D6B"/>
    <w:rsid w:val="009265E9"/>
    <w:rsid w:val="00934A1B"/>
    <w:rsid w:val="009420FE"/>
    <w:rsid w:val="009432FD"/>
    <w:rsid w:val="00950DFA"/>
    <w:rsid w:val="0095426B"/>
    <w:rsid w:val="00963752"/>
    <w:rsid w:val="00966B79"/>
    <w:rsid w:val="0098373C"/>
    <w:rsid w:val="0098579D"/>
    <w:rsid w:val="00985B48"/>
    <w:rsid w:val="009872B1"/>
    <w:rsid w:val="00992EEC"/>
    <w:rsid w:val="009968DF"/>
    <w:rsid w:val="00997178"/>
    <w:rsid w:val="009B2BC7"/>
    <w:rsid w:val="009C6053"/>
    <w:rsid w:val="009C652E"/>
    <w:rsid w:val="009E531D"/>
    <w:rsid w:val="009F2230"/>
    <w:rsid w:val="00A07CF6"/>
    <w:rsid w:val="00A121EA"/>
    <w:rsid w:val="00A276F7"/>
    <w:rsid w:val="00A32C74"/>
    <w:rsid w:val="00A60B2F"/>
    <w:rsid w:val="00A613CA"/>
    <w:rsid w:val="00A6431B"/>
    <w:rsid w:val="00A66E22"/>
    <w:rsid w:val="00A67F29"/>
    <w:rsid w:val="00A718A9"/>
    <w:rsid w:val="00A838BE"/>
    <w:rsid w:val="00A85112"/>
    <w:rsid w:val="00A9089C"/>
    <w:rsid w:val="00A91DBB"/>
    <w:rsid w:val="00A9224F"/>
    <w:rsid w:val="00A97377"/>
    <w:rsid w:val="00AA3CFC"/>
    <w:rsid w:val="00AB7A70"/>
    <w:rsid w:val="00AC0AC9"/>
    <w:rsid w:val="00AC2F33"/>
    <w:rsid w:val="00AE0C9F"/>
    <w:rsid w:val="00AE7C9B"/>
    <w:rsid w:val="00AF0E49"/>
    <w:rsid w:val="00B00A4C"/>
    <w:rsid w:val="00B10CC2"/>
    <w:rsid w:val="00B11D68"/>
    <w:rsid w:val="00B20C6E"/>
    <w:rsid w:val="00B2588B"/>
    <w:rsid w:val="00B35E24"/>
    <w:rsid w:val="00B419C7"/>
    <w:rsid w:val="00B423BE"/>
    <w:rsid w:val="00B45D26"/>
    <w:rsid w:val="00B467E9"/>
    <w:rsid w:val="00B53D65"/>
    <w:rsid w:val="00B55693"/>
    <w:rsid w:val="00B83A3F"/>
    <w:rsid w:val="00B909F3"/>
    <w:rsid w:val="00B94795"/>
    <w:rsid w:val="00B95429"/>
    <w:rsid w:val="00B95F65"/>
    <w:rsid w:val="00B97494"/>
    <w:rsid w:val="00B97501"/>
    <w:rsid w:val="00BA5EBC"/>
    <w:rsid w:val="00BC000F"/>
    <w:rsid w:val="00BF2950"/>
    <w:rsid w:val="00BF5AB5"/>
    <w:rsid w:val="00BF60BF"/>
    <w:rsid w:val="00BF73F3"/>
    <w:rsid w:val="00C008BC"/>
    <w:rsid w:val="00C02AC6"/>
    <w:rsid w:val="00C1086B"/>
    <w:rsid w:val="00C139C1"/>
    <w:rsid w:val="00C1527B"/>
    <w:rsid w:val="00C1712C"/>
    <w:rsid w:val="00C211E6"/>
    <w:rsid w:val="00C221EF"/>
    <w:rsid w:val="00C23F0F"/>
    <w:rsid w:val="00C24EB8"/>
    <w:rsid w:val="00C30C12"/>
    <w:rsid w:val="00C4032C"/>
    <w:rsid w:val="00C676A0"/>
    <w:rsid w:val="00C704DC"/>
    <w:rsid w:val="00C771F7"/>
    <w:rsid w:val="00C806F9"/>
    <w:rsid w:val="00C977B9"/>
    <w:rsid w:val="00CA21EE"/>
    <w:rsid w:val="00CA258A"/>
    <w:rsid w:val="00CA2F8E"/>
    <w:rsid w:val="00CA7412"/>
    <w:rsid w:val="00CB559F"/>
    <w:rsid w:val="00CC7D6E"/>
    <w:rsid w:val="00CD74F9"/>
    <w:rsid w:val="00CE14A3"/>
    <w:rsid w:val="00CF44B2"/>
    <w:rsid w:val="00CF6BC7"/>
    <w:rsid w:val="00D15764"/>
    <w:rsid w:val="00D205D2"/>
    <w:rsid w:val="00D42830"/>
    <w:rsid w:val="00D42B73"/>
    <w:rsid w:val="00D432B0"/>
    <w:rsid w:val="00D4485A"/>
    <w:rsid w:val="00D51844"/>
    <w:rsid w:val="00D51D8E"/>
    <w:rsid w:val="00D52E19"/>
    <w:rsid w:val="00D65F82"/>
    <w:rsid w:val="00D66D8C"/>
    <w:rsid w:val="00D71C6E"/>
    <w:rsid w:val="00D80196"/>
    <w:rsid w:val="00D8759F"/>
    <w:rsid w:val="00D928B4"/>
    <w:rsid w:val="00D96336"/>
    <w:rsid w:val="00D97C98"/>
    <w:rsid w:val="00DB1EFC"/>
    <w:rsid w:val="00DB2ADB"/>
    <w:rsid w:val="00DB694B"/>
    <w:rsid w:val="00DC2BF7"/>
    <w:rsid w:val="00DC3188"/>
    <w:rsid w:val="00DF2A4B"/>
    <w:rsid w:val="00DF2C96"/>
    <w:rsid w:val="00E11697"/>
    <w:rsid w:val="00E13B75"/>
    <w:rsid w:val="00E17FEB"/>
    <w:rsid w:val="00E33D71"/>
    <w:rsid w:val="00E34C0E"/>
    <w:rsid w:val="00E41011"/>
    <w:rsid w:val="00E41426"/>
    <w:rsid w:val="00E4467D"/>
    <w:rsid w:val="00E45944"/>
    <w:rsid w:val="00E45B01"/>
    <w:rsid w:val="00E465DE"/>
    <w:rsid w:val="00E53209"/>
    <w:rsid w:val="00E61322"/>
    <w:rsid w:val="00E65112"/>
    <w:rsid w:val="00E70C01"/>
    <w:rsid w:val="00E9082B"/>
    <w:rsid w:val="00E90DFA"/>
    <w:rsid w:val="00E97B3D"/>
    <w:rsid w:val="00EA14C1"/>
    <w:rsid w:val="00EA2DCF"/>
    <w:rsid w:val="00EA711C"/>
    <w:rsid w:val="00EB2BEF"/>
    <w:rsid w:val="00ED38DC"/>
    <w:rsid w:val="00ED62C7"/>
    <w:rsid w:val="00EE0236"/>
    <w:rsid w:val="00EE0448"/>
    <w:rsid w:val="00F069DD"/>
    <w:rsid w:val="00F07868"/>
    <w:rsid w:val="00F133F5"/>
    <w:rsid w:val="00F274F0"/>
    <w:rsid w:val="00F30831"/>
    <w:rsid w:val="00F36986"/>
    <w:rsid w:val="00F479CB"/>
    <w:rsid w:val="00F5007C"/>
    <w:rsid w:val="00F54BC5"/>
    <w:rsid w:val="00F6033B"/>
    <w:rsid w:val="00F60462"/>
    <w:rsid w:val="00F718B4"/>
    <w:rsid w:val="00F83198"/>
    <w:rsid w:val="00F90CD0"/>
    <w:rsid w:val="00FA0FBB"/>
    <w:rsid w:val="00FC5A0F"/>
    <w:rsid w:val="00FD3D4A"/>
    <w:rsid w:val="00FE03B7"/>
    <w:rsid w:val="00FE043F"/>
    <w:rsid w:val="00FE09E6"/>
    <w:rsid w:val="00FE1057"/>
    <w:rsid w:val="00FE20ED"/>
    <w:rsid w:val="00FE641E"/>
    <w:rsid w:val="00FF28AE"/>
    <w:rsid w:val="00FF5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34BD"/>
    <w:pPr>
      <w:widowControl w:val="0"/>
      <w:autoSpaceDE w:val="0"/>
      <w:autoSpaceDN w:val="0"/>
      <w:adjustRightInd w:val="0"/>
    </w:pPr>
    <w:rPr>
      <w:szCs w:val="24"/>
    </w:rPr>
  </w:style>
  <w:style w:type="paragraph" w:styleId="Heading1">
    <w:name w:val="heading 1"/>
    <w:basedOn w:val="Normal"/>
    <w:next w:val="Normal"/>
    <w:qFormat/>
    <w:rsid w:val="00DB1EFC"/>
    <w:pPr>
      <w:keepNext/>
      <w:numPr>
        <w:numId w:val="5"/>
      </w:numPr>
      <w:tabs>
        <w:tab w:val="left" w:pos="-1440"/>
      </w:tabs>
      <w:outlineLvl w:val="0"/>
    </w:pPr>
    <w:rPr>
      <w:rFonts w:ascii="Univers" w:hAnsi="Univers"/>
      <w:sz w:val="24"/>
    </w:rPr>
  </w:style>
  <w:style w:type="paragraph" w:styleId="Heading2">
    <w:name w:val="heading 2"/>
    <w:basedOn w:val="Normal"/>
    <w:next w:val="Normal"/>
    <w:qFormat/>
    <w:rsid w:val="00DB1EFC"/>
    <w:pPr>
      <w:keepNext/>
      <w:numPr>
        <w:ilvl w:val="1"/>
        <w:numId w:val="5"/>
      </w:numPr>
      <w:tabs>
        <w:tab w:val="center" w:pos="4221"/>
        <w:tab w:val="left" w:pos="4842"/>
        <w:tab w:val="left" w:pos="5562"/>
        <w:tab w:val="left" w:pos="6282"/>
        <w:tab w:val="left" w:pos="7002"/>
        <w:tab w:val="left" w:pos="7722"/>
        <w:tab w:val="left" w:pos="8442"/>
      </w:tabs>
      <w:jc w:val="center"/>
      <w:outlineLvl w:val="1"/>
    </w:pPr>
    <w:rPr>
      <w:rFonts w:ascii="CG Times" w:hAnsi="CG Times"/>
      <w:b/>
      <w:bCs/>
      <w:sz w:val="28"/>
      <w:szCs w:val="28"/>
    </w:rPr>
  </w:style>
  <w:style w:type="paragraph" w:styleId="Heading3">
    <w:name w:val="heading 3"/>
    <w:basedOn w:val="Normal"/>
    <w:next w:val="Normal"/>
    <w:qFormat/>
    <w:rsid w:val="00DB1EFC"/>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DB1EFC"/>
    <w:pPr>
      <w:keepNext/>
      <w:numPr>
        <w:ilvl w:val="3"/>
        <w:numId w:val="5"/>
      </w:numPr>
      <w:spacing w:before="240" w:after="60"/>
      <w:outlineLvl w:val="3"/>
    </w:pPr>
    <w:rPr>
      <w:b/>
      <w:bCs/>
      <w:sz w:val="28"/>
      <w:szCs w:val="28"/>
    </w:rPr>
  </w:style>
  <w:style w:type="paragraph" w:styleId="Heading5">
    <w:name w:val="heading 5"/>
    <w:basedOn w:val="Normal"/>
    <w:next w:val="Normal"/>
    <w:qFormat/>
    <w:rsid w:val="00DB1EFC"/>
    <w:pPr>
      <w:keepNext/>
      <w:numPr>
        <w:ilvl w:val="4"/>
        <w:numId w:val="5"/>
      </w:numPr>
      <w:tabs>
        <w:tab w:val="left" w:pos="-1440"/>
      </w:tabs>
      <w:outlineLvl w:val="4"/>
    </w:pPr>
    <w:rPr>
      <w:sz w:val="24"/>
    </w:rPr>
  </w:style>
  <w:style w:type="paragraph" w:styleId="Heading6">
    <w:name w:val="heading 6"/>
    <w:basedOn w:val="Normal"/>
    <w:next w:val="Normal"/>
    <w:qFormat/>
    <w:rsid w:val="00DB1EFC"/>
    <w:pPr>
      <w:keepNext/>
      <w:numPr>
        <w:ilvl w:val="5"/>
        <w:numId w:val="5"/>
      </w:numPr>
      <w:tabs>
        <w:tab w:val="left" w:pos="-1440"/>
      </w:tabs>
      <w:outlineLvl w:val="5"/>
    </w:pPr>
    <w:rPr>
      <w:sz w:val="24"/>
    </w:rPr>
  </w:style>
  <w:style w:type="paragraph" w:styleId="Heading7">
    <w:name w:val="heading 7"/>
    <w:basedOn w:val="Normal"/>
    <w:next w:val="Normal"/>
    <w:qFormat/>
    <w:rsid w:val="00DB1EFC"/>
    <w:pPr>
      <w:keepNext/>
      <w:numPr>
        <w:ilvl w:val="6"/>
        <w:numId w:val="5"/>
      </w:numPr>
      <w:tabs>
        <w:tab w:val="left" w:pos="-1440"/>
      </w:tabs>
      <w:outlineLvl w:val="6"/>
    </w:pPr>
    <w:rPr>
      <w:sz w:val="24"/>
      <w:szCs w:val="22"/>
    </w:rPr>
  </w:style>
  <w:style w:type="paragraph" w:styleId="Heading8">
    <w:name w:val="heading 8"/>
    <w:basedOn w:val="Normal"/>
    <w:next w:val="Normal"/>
    <w:qFormat/>
    <w:rsid w:val="00DB1EFC"/>
    <w:pPr>
      <w:keepNext/>
      <w:numPr>
        <w:ilvl w:val="7"/>
        <w:numId w:val="5"/>
      </w:numPr>
      <w:outlineLvl w:val="7"/>
    </w:pPr>
    <w:rPr>
      <w:sz w:val="24"/>
    </w:rPr>
  </w:style>
  <w:style w:type="paragraph" w:styleId="Heading9">
    <w:name w:val="heading 9"/>
    <w:basedOn w:val="Normal"/>
    <w:next w:val="Normal"/>
    <w:qFormat/>
    <w:rsid w:val="00DB1EFC"/>
    <w:pPr>
      <w:keepNext/>
      <w:numPr>
        <w:ilvl w:val="8"/>
        <w:numId w:val="5"/>
      </w:numPr>
      <w:tabs>
        <w:tab w:val="left" w:pos="-720"/>
      </w:tabs>
      <w:spacing w:line="312" w:lineRule="auto"/>
      <w:outlineLvl w:val="8"/>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FootnoteReference">
    <w:name w:val="footnote reference"/>
    <w:semiHidden/>
    <w:rsid w:val="00DB1EFC"/>
  </w:style>
  <w:style w:type="paragraph" w:customStyle="1" w:styleId="Level2">
    <w:name w:val="Level 2"/>
    <w:basedOn w:val="Normal"/>
    <w:rsid w:val="00DB1EFC"/>
    <w:pPr>
      <w:numPr>
        <w:ilvl w:val="1"/>
        <w:numId w:val="1"/>
      </w:numPr>
      <w:ind w:left="1440" w:hanging="720"/>
      <w:outlineLvl w:val="1"/>
    </w:pPr>
  </w:style>
  <w:style w:type="paragraph" w:styleId="BodyTextIndent">
    <w:name w:val="Body Text Indent"/>
    <w:basedOn w:val="Normal"/>
    <w:rsid w:val="00DB1EFC"/>
    <w:pPr>
      <w:tabs>
        <w:tab w:val="left" w:pos="-1440"/>
      </w:tabs>
      <w:ind w:left="1440"/>
    </w:pPr>
    <w:rPr>
      <w:sz w:val="24"/>
      <w:szCs w:val="22"/>
    </w:rPr>
  </w:style>
  <w:style w:type="paragraph" w:styleId="TOC2">
    <w:name w:val="toc 2"/>
    <w:basedOn w:val="Normal"/>
    <w:next w:val="Normal"/>
    <w:autoRedefine/>
    <w:semiHidden/>
    <w:rsid w:val="00DB1EFC"/>
    <w:pPr>
      <w:ind w:left="200"/>
    </w:pPr>
  </w:style>
  <w:style w:type="paragraph" w:styleId="TOC1">
    <w:name w:val="toc 1"/>
    <w:basedOn w:val="Normal"/>
    <w:next w:val="Heading1"/>
    <w:autoRedefine/>
    <w:semiHidden/>
    <w:rsid w:val="00051155"/>
    <w:rPr>
      <w:b/>
      <w:sz w:val="24"/>
      <w:lang w:val="fr-FR"/>
    </w:rPr>
  </w:style>
  <w:style w:type="paragraph" w:styleId="TOC3">
    <w:name w:val="toc 3"/>
    <w:basedOn w:val="Normal"/>
    <w:next w:val="Normal"/>
    <w:autoRedefine/>
    <w:semiHidden/>
    <w:rsid w:val="00DB1EFC"/>
    <w:pPr>
      <w:ind w:left="400"/>
    </w:pPr>
  </w:style>
  <w:style w:type="paragraph" w:styleId="TOC4">
    <w:name w:val="toc 4"/>
    <w:basedOn w:val="Normal"/>
    <w:next w:val="Normal"/>
    <w:autoRedefine/>
    <w:semiHidden/>
    <w:rsid w:val="00DB1EFC"/>
    <w:pPr>
      <w:ind w:left="600"/>
    </w:pPr>
  </w:style>
  <w:style w:type="paragraph" w:styleId="TOC5">
    <w:name w:val="toc 5"/>
    <w:basedOn w:val="Normal"/>
    <w:next w:val="Normal"/>
    <w:autoRedefine/>
    <w:semiHidden/>
    <w:rsid w:val="00DB1EFC"/>
    <w:pPr>
      <w:ind w:left="800"/>
    </w:pPr>
  </w:style>
  <w:style w:type="paragraph" w:styleId="TOC6">
    <w:name w:val="toc 6"/>
    <w:basedOn w:val="Normal"/>
    <w:next w:val="Normal"/>
    <w:autoRedefine/>
    <w:semiHidden/>
    <w:rsid w:val="00DB1EFC"/>
    <w:pPr>
      <w:ind w:left="1000"/>
    </w:pPr>
  </w:style>
  <w:style w:type="paragraph" w:styleId="TOC7">
    <w:name w:val="toc 7"/>
    <w:basedOn w:val="Normal"/>
    <w:next w:val="Normal"/>
    <w:autoRedefine/>
    <w:semiHidden/>
    <w:rsid w:val="00DB1EFC"/>
    <w:pPr>
      <w:ind w:left="1200"/>
    </w:pPr>
  </w:style>
  <w:style w:type="paragraph" w:styleId="TOC8">
    <w:name w:val="toc 8"/>
    <w:basedOn w:val="Normal"/>
    <w:next w:val="Normal"/>
    <w:autoRedefine/>
    <w:semiHidden/>
    <w:rsid w:val="00DB1EFC"/>
    <w:pPr>
      <w:ind w:left="1400"/>
    </w:pPr>
  </w:style>
  <w:style w:type="paragraph" w:styleId="TOC9">
    <w:name w:val="toc 9"/>
    <w:basedOn w:val="Normal"/>
    <w:next w:val="Normal"/>
    <w:autoRedefine/>
    <w:semiHidden/>
    <w:rsid w:val="00DB1EFC"/>
    <w:pPr>
      <w:ind w:left="1600"/>
    </w:pPr>
  </w:style>
  <w:style w:type="character" w:styleId="Hyperlink">
    <w:name w:val="Hyperlink"/>
    <w:basedOn w:val="DefaultParagraphFont"/>
    <w:rsid w:val="00DB1EFC"/>
    <w:rPr>
      <w:color w:val="0000FF"/>
      <w:u w:val="single"/>
    </w:rPr>
  </w:style>
  <w:style w:type="paragraph" w:styleId="Header">
    <w:name w:val="header"/>
    <w:basedOn w:val="Normal"/>
    <w:rsid w:val="00DB1EFC"/>
    <w:pPr>
      <w:tabs>
        <w:tab w:val="center" w:pos="4320"/>
        <w:tab w:val="right" w:pos="8640"/>
      </w:tabs>
    </w:pPr>
  </w:style>
  <w:style w:type="paragraph" w:styleId="Footer">
    <w:name w:val="footer"/>
    <w:basedOn w:val="Normal"/>
    <w:rsid w:val="00DB1EFC"/>
    <w:pPr>
      <w:tabs>
        <w:tab w:val="center" w:pos="4320"/>
        <w:tab w:val="right" w:pos="8640"/>
      </w:tabs>
    </w:pPr>
  </w:style>
  <w:style w:type="paragraph" w:styleId="BodyTextIndent2">
    <w:name w:val="Body Text Indent 2"/>
    <w:basedOn w:val="Normal"/>
    <w:rsid w:val="00DB1EFC"/>
    <w:pPr>
      <w:ind w:left="720"/>
    </w:pPr>
    <w:rPr>
      <w:sz w:val="24"/>
    </w:rPr>
  </w:style>
  <w:style w:type="paragraph" w:styleId="BodyTextIndent3">
    <w:name w:val="Body Text Indent 3"/>
    <w:basedOn w:val="Normal"/>
    <w:rsid w:val="00DB1EFC"/>
    <w:pPr>
      <w:tabs>
        <w:tab w:val="left" w:pos="-1440"/>
      </w:tabs>
      <w:ind w:left="1080" w:hanging="360"/>
    </w:pPr>
    <w:rPr>
      <w:sz w:val="24"/>
      <w:szCs w:val="22"/>
    </w:rPr>
  </w:style>
  <w:style w:type="character" w:styleId="PageNumber">
    <w:name w:val="page number"/>
    <w:basedOn w:val="DefaultParagraphFont"/>
    <w:rsid w:val="00DB1EFC"/>
  </w:style>
  <w:style w:type="character" w:styleId="FollowedHyperlink">
    <w:name w:val="FollowedHyperlink"/>
    <w:basedOn w:val="DefaultParagraphFont"/>
    <w:rsid w:val="00DB1EFC"/>
    <w:rPr>
      <w:color w:val="800080"/>
      <w:u w:val="single"/>
    </w:rPr>
  </w:style>
  <w:style w:type="paragraph" w:styleId="BodyText2">
    <w:name w:val="Body Text 2"/>
    <w:basedOn w:val="Normal"/>
    <w:rsid w:val="00DB1EFC"/>
    <w:pPr>
      <w:tabs>
        <w:tab w:val="left" w:pos="-1368"/>
        <w:tab w:val="left" w:pos="1368"/>
        <w:tab w:val="left" w:pos="2088"/>
        <w:tab w:val="left" w:pos="2808"/>
        <w:tab w:val="left" w:pos="3528"/>
        <w:tab w:val="left" w:pos="4248"/>
        <w:tab w:val="left" w:pos="4968"/>
        <w:tab w:val="left" w:pos="5688"/>
      </w:tabs>
      <w:autoSpaceDE/>
      <w:autoSpaceDN/>
      <w:adjustRightInd/>
      <w:jc w:val="both"/>
    </w:pPr>
    <w:rPr>
      <w:snapToGrid w:val="0"/>
      <w:sz w:val="24"/>
    </w:rPr>
  </w:style>
  <w:style w:type="paragraph" w:styleId="BodyText">
    <w:name w:val="Body Text"/>
    <w:basedOn w:val="Normal"/>
    <w:rsid w:val="00DB1EFC"/>
    <w:rPr>
      <w:b/>
      <w:bCs/>
      <w:sz w:val="24"/>
    </w:rPr>
  </w:style>
  <w:style w:type="paragraph" w:styleId="Title">
    <w:name w:val="Title"/>
    <w:basedOn w:val="Normal"/>
    <w:qFormat/>
    <w:rsid w:val="00DB1EFC"/>
    <w:pPr>
      <w:widowControl/>
      <w:autoSpaceDE/>
      <w:autoSpaceDN/>
      <w:adjustRightInd/>
      <w:jc w:val="center"/>
    </w:pPr>
    <w:rPr>
      <w:rFonts w:ascii="Univers" w:hAnsi="Univers"/>
      <w:b/>
      <w:bCs/>
      <w:sz w:val="28"/>
      <w:szCs w:val="28"/>
    </w:rPr>
  </w:style>
  <w:style w:type="paragraph" w:styleId="Subtitle">
    <w:name w:val="Subtitle"/>
    <w:basedOn w:val="Normal"/>
    <w:qFormat/>
    <w:rsid w:val="00DB1EFC"/>
    <w:pPr>
      <w:widowControl/>
      <w:autoSpaceDE/>
      <w:autoSpaceDN/>
      <w:adjustRightInd/>
      <w:jc w:val="center"/>
    </w:pPr>
    <w:rPr>
      <w:rFonts w:ascii="Univers" w:hAnsi="Univers"/>
      <w:b/>
      <w:bCs/>
      <w:sz w:val="28"/>
      <w:szCs w:val="28"/>
      <w:u w:val="single"/>
    </w:rPr>
  </w:style>
  <w:style w:type="table" w:styleId="TableGrid">
    <w:name w:val="Table Grid"/>
    <w:basedOn w:val="TableNormal"/>
    <w:rsid w:val="00D205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semiHidden/>
    <w:rsid w:val="00B423BE"/>
    <w:rPr>
      <w:rFonts w:ascii="Tahoma" w:hAnsi="Tahoma" w:cs="Tahoma"/>
      <w:sz w:val="16"/>
      <w:szCs w:val="16"/>
    </w:rPr>
  </w:style>
  <w:style w:type="paragraph" w:customStyle="1" w:styleId="level10">
    <w:name w:val="_level1"/>
    <w:basedOn w:val="Normal"/>
    <w:rsid w:val="00380250"/>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autoSpaceDN/>
      <w:adjustRightInd/>
      <w:ind w:left="360" w:hanging="360"/>
    </w:pPr>
    <w:rPr>
      <w:sz w:val="24"/>
      <w:szCs w:val="20"/>
    </w:rPr>
  </w:style>
  <w:style w:type="character" w:customStyle="1" w:styleId="Hypertext">
    <w:name w:val="Hypertext"/>
    <w:rsid w:val="009E531D"/>
    <w:rPr>
      <w:color w:val="0000FF"/>
      <w:u w:val="single"/>
    </w:rPr>
  </w:style>
  <w:style w:type="character" w:styleId="CommentReference">
    <w:name w:val="annotation reference"/>
    <w:basedOn w:val="DefaultParagraphFont"/>
    <w:semiHidden/>
    <w:rsid w:val="009E531D"/>
    <w:rPr>
      <w:sz w:val="16"/>
      <w:szCs w:val="16"/>
    </w:rPr>
  </w:style>
  <w:style w:type="paragraph" w:styleId="CommentText">
    <w:name w:val="annotation text"/>
    <w:basedOn w:val="Normal"/>
    <w:semiHidden/>
    <w:rsid w:val="009E531D"/>
    <w:pPr>
      <w:widowControl/>
      <w:autoSpaceDE/>
      <w:autoSpaceDN/>
      <w:adjustRightInd/>
    </w:pPr>
    <w:rPr>
      <w:szCs w:val="20"/>
    </w:rPr>
  </w:style>
  <w:style w:type="paragraph" w:styleId="CommentSubject">
    <w:name w:val="annotation subject"/>
    <w:basedOn w:val="CommentText"/>
    <w:next w:val="CommentText"/>
    <w:semiHidden/>
    <w:rsid w:val="008C3887"/>
    <w:pPr>
      <w:widowControl w:val="0"/>
      <w:autoSpaceDE w:val="0"/>
      <w:autoSpaceDN w:val="0"/>
      <w:adjustRightInd w:val="0"/>
    </w:pPr>
    <w:rPr>
      <w:b/>
      <w:bCs/>
    </w:rPr>
  </w:style>
  <w:style w:type="paragraph" w:customStyle="1" w:styleId="Level1">
    <w:name w:val="Level 1"/>
    <w:basedOn w:val="Normal"/>
    <w:rsid w:val="00355326"/>
    <w:pPr>
      <w:numPr>
        <w:numId w:val="18"/>
      </w:numPr>
      <w:ind w:left="720" w:hanging="720"/>
      <w:outlineLvl w:val="0"/>
    </w:pPr>
  </w:style>
  <w:style w:type="paragraph" w:styleId="ListParagraph">
    <w:name w:val="List Paragraph"/>
    <w:basedOn w:val="Normal"/>
    <w:uiPriority w:val="34"/>
    <w:qFormat/>
    <w:rsid w:val="004C17D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lpstr>
    </vt:vector>
  </TitlesOfParts>
  <Company>U.S. Geological Survey</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Peter Lyttle</dc:creator>
  <cp:keywords/>
  <dc:description/>
  <cp:lastModifiedBy>tthaler</cp:lastModifiedBy>
  <cp:revision>4</cp:revision>
  <cp:lastPrinted>2008-01-14T23:32:00Z</cp:lastPrinted>
  <dcterms:created xsi:type="dcterms:W3CDTF">2008-07-23T15:30:00Z</dcterms:created>
  <dcterms:modified xsi:type="dcterms:W3CDTF">2008-08-19T23:19:00Z</dcterms:modified>
</cp:coreProperties>
</file>