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E19" w:rsidRDefault="00D52E19">
      <w:pPr>
        <w:framePr w:w="1944" w:h="1944" w:hRule="exact" w:hSpace="240" w:vSpace="240" w:wrap="auto" w:hAnchor="margin" w:x="7273" w:y="1"/>
        <w:pBdr>
          <w:top w:val="single" w:sz="6" w:space="0" w:color="FFFFFF"/>
          <w:left w:val="single" w:sz="6" w:space="0" w:color="FFFFFF"/>
          <w:bottom w:val="single" w:sz="6" w:space="0" w:color="FFFFFF"/>
          <w:right w:val="single" w:sz="6" w:space="0" w:color="FFFFFF"/>
        </w:pBdr>
        <w:rPr>
          <w:sz w:val="24"/>
        </w:rPr>
      </w:pPr>
    </w:p>
    <w:p w:rsidR="00D52E19" w:rsidRDefault="000A3026" w:rsidP="00FE03B7">
      <w:pPr>
        <w:framePr w:w="1944" w:h="1944" w:hRule="exact" w:hSpace="240" w:vSpace="240" w:wrap="auto" w:vAnchor="page" w:hAnchor="page" w:x="8827" w:y="1505"/>
        <w:pBdr>
          <w:top w:val="single" w:sz="6" w:space="0" w:color="FFFFFF"/>
          <w:left w:val="single" w:sz="6" w:space="0" w:color="FFFFFF"/>
          <w:bottom w:val="single" w:sz="6" w:space="0" w:color="FFFFFF"/>
          <w:right w:val="single" w:sz="6" w:space="0" w:color="FFFFFF"/>
        </w:pBdr>
        <w:rPr>
          <w:sz w:val="24"/>
        </w:rPr>
      </w:pPr>
      <w:r>
        <w:rPr>
          <w:noProof/>
        </w:rPr>
        <w:drawing>
          <wp:inline distT="0" distB="0" distL="0" distR="0">
            <wp:extent cx="1238250" cy="1238250"/>
            <wp:effectExtent l="19050" t="0" r="0" b="0"/>
            <wp:docPr id="1" name="Picture 1" descr="doi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i_cmyk"/>
                    <pic:cNvPicPr>
                      <a:picLocks noChangeAspect="1" noChangeArrowheads="1"/>
                    </pic:cNvPicPr>
                  </pic:nvPicPr>
                  <pic:blipFill>
                    <a:blip r:embed="rId7"/>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D52E19" w:rsidRDefault="00D52E19">
      <w:pPr>
        <w:rPr>
          <w:rFonts w:ascii="Andale Mono" w:hAnsi="Andale Mono"/>
          <w:sz w:val="24"/>
        </w:rPr>
      </w:pPr>
    </w:p>
    <w:p w:rsidR="00994F48" w:rsidRDefault="00994F48" w:rsidP="00994F48">
      <w:pPr>
        <w:framePr w:w="2197" w:h="2045" w:hRule="exact" w:hSpace="90" w:vSpace="90" w:wrap="auto" w:vAnchor="page" w:hAnchor="page" w:x="1096" w:y="1625"/>
        <w:pBdr>
          <w:top w:val="single" w:sz="6" w:space="0" w:color="FFFFFF"/>
          <w:left w:val="single" w:sz="6" w:space="0" w:color="FFFFFF"/>
          <w:bottom w:val="single" w:sz="6" w:space="0" w:color="FFFFFF"/>
          <w:right w:val="single" w:sz="6" w:space="0" w:color="FFFFFF"/>
        </w:pBdr>
        <w:rPr>
          <w:sz w:val="24"/>
        </w:rPr>
      </w:pPr>
      <w:r>
        <w:rPr>
          <w:noProof/>
          <w:sz w:val="24"/>
        </w:rPr>
        <w:drawing>
          <wp:inline distT="0" distB="0" distL="0" distR="0">
            <wp:extent cx="1343025" cy="12001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1472" t="-1460" r="-1472" b="-1460"/>
                    <a:stretch>
                      <a:fillRect/>
                    </a:stretch>
                  </pic:blipFill>
                  <pic:spPr bwMode="auto">
                    <a:xfrm>
                      <a:off x="0" y="0"/>
                      <a:ext cx="1343025" cy="1200150"/>
                    </a:xfrm>
                    <a:prstGeom prst="rect">
                      <a:avLst/>
                    </a:prstGeom>
                    <a:noFill/>
                    <a:ln w="9525">
                      <a:noFill/>
                      <a:miter lim="800000"/>
                      <a:headEnd/>
                      <a:tailEnd/>
                    </a:ln>
                  </pic:spPr>
                </pic:pic>
              </a:graphicData>
            </a:graphic>
          </wp:inline>
        </w:drawing>
      </w:r>
    </w:p>
    <w:p w:rsidR="00994F48" w:rsidRDefault="00994F48" w:rsidP="00994F48">
      <w:pPr>
        <w:framePr w:w="2197" w:h="2045" w:hRule="exact" w:hSpace="90" w:vSpace="90" w:wrap="auto" w:vAnchor="page" w:hAnchor="page" w:x="1096" w:y="1625"/>
      </w:pPr>
    </w:p>
    <w:p w:rsidR="00994F48" w:rsidRDefault="00994F48" w:rsidP="00994F48">
      <w:pPr>
        <w:framePr w:w="2197" w:h="2045" w:hRule="exact" w:hSpace="90" w:vSpace="90" w:wrap="auto" w:vAnchor="page" w:hAnchor="page" w:x="1096" w:y="1625"/>
        <w:pBdr>
          <w:top w:val="single" w:sz="6" w:space="0" w:color="FFFFFF"/>
          <w:left w:val="single" w:sz="6" w:space="0" w:color="FFFFFF"/>
          <w:bottom w:val="single" w:sz="6" w:space="0" w:color="FFFFFF"/>
          <w:right w:val="single" w:sz="6" w:space="0" w:color="FFFFFF"/>
        </w:pBdr>
        <w:rPr>
          <w:rFonts w:ascii="Andale Mono" w:hAnsi="Andale Mono"/>
          <w:sz w:val="24"/>
        </w:rPr>
      </w:pPr>
      <w:r>
        <w:rPr>
          <w:sz w:val="24"/>
        </w:rPr>
        <w:t xml:space="preserve">          </w:t>
      </w:r>
    </w:p>
    <w:p w:rsidR="00D52E19" w:rsidRDefault="00D52E19">
      <w:pPr>
        <w:rPr>
          <w:rFonts w:ascii="Andale Mono" w:hAnsi="Andale Mono"/>
          <w:sz w:val="24"/>
        </w:rPr>
      </w:pPr>
    </w:p>
    <w:p w:rsidR="00D52E19" w:rsidRDefault="00D52E19">
      <w:pPr>
        <w:ind w:left="-198"/>
        <w:rPr>
          <w:rFonts w:ascii="CG Times" w:hAnsi="CG Times"/>
          <w:b/>
          <w:sz w:val="28"/>
        </w:rPr>
      </w:pPr>
    </w:p>
    <w:p w:rsidR="00FE03B7" w:rsidRDefault="00D52E19" w:rsidP="00624A5D">
      <w:pPr>
        <w:pStyle w:val="Heading2"/>
        <w:numPr>
          <w:ilvl w:val="0"/>
          <w:numId w:val="0"/>
        </w:numPr>
        <w:ind w:left="900"/>
      </w:pPr>
      <w:r>
        <w:t xml:space="preserve">UNITED STATES </w:t>
      </w:r>
    </w:p>
    <w:p w:rsidR="00D52E19" w:rsidRDefault="00D52E19" w:rsidP="00624A5D">
      <w:pPr>
        <w:pStyle w:val="Heading2"/>
        <w:numPr>
          <w:ilvl w:val="0"/>
          <w:numId w:val="0"/>
        </w:numPr>
        <w:ind w:left="900"/>
      </w:pPr>
      <w:r>
        <w:t>DEPARTMENT OF THE INTERIOR</w:t>
      </w:r>
    </w:p>
    <w:p w:rsidR="00017A09" w:rsidRDefault="00017A09" w:rsidP="00017A09">
      <w:pPr>
        <w:tabs>
          <w:tab w:val="center" w:pos="4221"/>
          <w:tab w:val="left" w:pos="4842"/>
          <w:tab w:val="left" w:pos="5562"/>
          <w:tab w:val="left" w:pos="6282"/>
          <w:tab w:val="left" w:pos="7002"/>
          <w:tab w:val="left" w:pos="7722"/>
          <w:tab w:val="left" w:pos="8442"/>
        </w:tabs>
        <w:ind w:left="-198"/>
        <w:rPr>
          <w:rFonts w:ascii="CG Times" w:hAnsi="CG Times"/>
          <w:b/>
          <w:sz w:val="28"/>
        </w:rPr>
      </w:pPr>
    </w:p>
    <w:p w:rsidR="00D52E19" w:rsidRDefault="003D6CFA" w:rsidP="00994F48">
      <w:pPr>
        <w:tabs>
          <w:tab w:val="center" w:pos="4221"/>
          <w:tab w:val="left" w:pos="4842"/>
          <w:tab w:val="left" w:pos="5562"/>
          <w:tab w:val="left" w:pos="6282"/>
          <w:tab w:val="left" w:pos="7002"/>
          <w:tab w:val="left" w:pos="7722"/>
          <w:tab w:val="left" w:pos="8442"/>
        </w:tabs>
        <w:ind w:left="-198"/>
        <w:rPr>
          <w:rFonts w:ascii="CG Times" w:hAnsi="CG Times"/>
          <w:b/>
          <w:sz w:val="28"/>
        </w:rPr>
      </w:pPr>
      <w:r>
        <w:rPr>
          <w:rFonts w:ascii="CG Times" w:hAnsi="CG Times"/>
          <w:b/>
          <w:sz w:val="28"/>
        </w:rPr>
        <w:t>BUREAU OF LAND</w:t>
      </w:r>
      <w:r w:rsidR="00994F48">
        <w:rPr>
          <w:rFonts w:ascii="CG Times" w:hAnsi="CG Times"/>
          <w:b/>
          <w:sz w:val="28"/>
        </w:rPr>
        <w:t xml:space="preserve"> </w:t>
      </w:r>
      <w:r>
        <w:rPr>
          <w:rFonts w:ascii="CG Times" w:hAnsi="CG Times"/>
          <w:b/>
          <w:sz w:val="28"/>
        </w:rPr>
        <w:t>MANAGEMENT</w:t>
      </w:r>
    </w:p>
    <w:p w:rsidR="00D52E19" w:rsidRDefault="00D52E19">
      <w:pPr>
        <w:ind w:left="-288"/>
        <w:rPr>
          <w:rFonts w:ascii="CG Times" w:hAnsi="CG Times"/>
          <w:b/>
          <w:sz w:val="28"/>
        </w:rPr>
      </w:pPr>
    </w:p>
    <w:p w:rsidR="004A1F86" w:rsidRDefault="004A1F86" w:rsidP="004A1F86"/>
    <w:p w:rsidR="004A1F86" w:rsidRDefault="004A1F86" w:rsidP="004A1F86"/>
    <w:p w:rsidR="004A1F86" w:rsidRDefault="004A1F86" w:rsidP="004A1F86">
      <w:pPr>
        <w:jc w:val="center"/>
        <w:rPr>
          <w:b/>
          <w:sz w:val="32"/>
          <w:szCs w:val="32"/>
        </w:rPr>
      </w:pPr>
      <w:r w:rsidRPr="003A7E67">
        <w:rPr>
          <w:b/>
          <w:sz w:val="32"/>
          <w:szCs w:val="32"/>
        </w:rPr>
        <w:t>NOTICE OF INTENT TO AWARD</w:t>
      </w:r>
    </w:p>
    <w:p w:rsidR="004A1F86" w:rsidRDefault="004A1F86" w:rsidP="004A1F86">
      <w:pPr>
        <w:jc w:val="center"/>
        <w:rPr>
          <w:b/>
          <w:sz w:val="32"/>
          <w:szCs w:val="32"/>
        </w:rPr>
      </w:pPr>
    </w:p>
    <w:p w:rsidR="004A1F86" w:rsidRDefault="004A1F86" w:rsidP="004A1F86">
      <w:r>
        <w:t>This Funding Announcement is not a request for applications.  This announcement is to provide public notice of the Bureau of Land Management’s intention to fund the following project activities without full and open competition.</w:t>
      </w:r>
    </w:p>
    <w:p w:rsidR="004A1F86" w:rsidRDefault="004A1F86" w:rsidP="004A1F86"/>
    <w:p w:rsidR="004A1F86" w:rsidRDefault="004A1F86" w:rsidP="004A1F86"/>
    <w:tbl>
      <w:tblPr>
        <w:tblW w:w="5000" w:type="pct"/>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tblPr>
      <w:tblGrid>
        <w:gridCol w:w="2560"/>
        <w:gridCol w:w="8186"/>
      </w:tblGrid>
      <w:tr w:rsidR="004A1F86" w:rsidRPr="00683645" w:rsidTr="00A91C79">
        <w:tc>
          <w:tcPr>
            <w:tcW w:w="5000" w:type="pct"/>
            <w:gridSpan w:val="2"/>
            <w:tcBorders>
              <w:top w:val="double" w:sz="4" w:space="0" w:color="auto"/>
              <w:bottom w:val="double" w:sz="4" w:space="0" w:color="auto"/>
            </w:tcBorders>
            <w:shd w:val="clear" w:color="auto" w:fill="CB9F5B"/>
          </w:tcPr>
          <w:p w:rsidR="004A1F86" w:rsidRPr="00A91C79" w:rsidRDefault="004A1F86" w:rsidP="00A91C79">
            <w:pPr>
              <w:jc w:val="center"/>
              <w:rPr>
                <w:b/>
                <w:sz w:val="28"/>
                <w:szCs w:val="28"/>
              </w:rPr>
            </w:pPr>
            <w:r w:rsidRPr="00A91C79">
              <w:rPr>
                <w:b/>
                <w:sz w:val="28"/>
                <w:szCs w:val="28"/>
              </w:rPr>
              <w:t>ABSTRACT</w:t>
            </w:r>
          </w:p>
        </w:tc>
      </w:tr>
      <w:tr w:rsidR="004A1F86" w:rsidRPr="00683645" w:rsidTr="00A91C79">
        <w:tc>
          <w:tcPr>
            <w:tcW w:w="1191" w:type="pct"/>
            <w:tcBorders>
              <w:top w:val="double" w:sz="4" w:space="0" w:color="auto"/>
            </w:tcBorders>
          </w:tcPr>
          <w:p w:rsidR="004A1F86" w:rsidRPr="00A91C79" w:rsidRDefault="004A1F86" w:rsidP="00CB559F">
            <w:pPr>
              <w:rPr>
                <w:b/>
              </w:rPr>
            </w:pPr>
            <w:r w:rsidRPr="00A91C79">
              <w:rPr>
                <w:b/>
              </w:rPr>
              <w:t>Funding Announcement</w:t>
            </w:r>
          </w:p>
        </w:tc>
        <w:tc>
          <w:tcPr>
            <w:tcW w:w="3809" w:type="pct"/>
            <w:tcBorders>
              <w:top w:val="double" w:sz="4" w:space="0" w:color="auto"/>
            </w:tcBorders>
            <w:vAlign w:val="center"/>
          </w:tcPr>
          <w:p w:rsidR="004A1F86" w:rsidRPr="00501AD5" w:rsidRDefault="00501AD5" w:rsidP="00501AD5">
            <w:pPr>
              <w:spacing w:line="240" w:lineRule="exact"/>
              <w:rPr>
                <w:vanish/>
                <w:sz w:val="24"/>
              </w:rPr>
            </w:pPr>
            <w:r>
              <w:rPr>
                <w:vanish/>
                <w:sz w:val="24"/>
              </w:rPr>
              <w:t>CA-NOI-08-0011</w:t>
            </w:r>
          </w:p>
        </w:tc>
      </w:tr>
      <w:tr w:rsidR="004A1F86" w:rsidRPr="00683645" w:rsidTr="00A91C79">
        <w:tc>
          <w:tcPr>
            <w:tcW w:w="1191" w:type="pct"/>
          </w:tcPr>
          <w:p w:rsidR="004A1F86" w:rsidRPr="00A91C79" w:rsidRDefault="004A1F86" w:rsidP="00CB559F">
            <w:pPr>
              <w:rPr>
                <w:b/>
              </w:rPr>
            </w:pPr>
            <w:r w:rsidRPr="00A91C79">
              <w:rPr>
                <w:b/>
              </w:rPr>
              <w:t>Project Title</w:t>
            </w:r>
          </w:p>
        </w:tc>
        <w:tc>
          <w:tcPr>
            <w:tcW w:w="3809" w:type="pct"/>
          </w:tcPr>
          <w:p w:rsidR="004A1F86" w:rsidRPr="00D04D8B" w:rsidRDefault="00916B2C" w:rsidP="00CB559F">
            <w:r>
              <w:t>California Bureau of Land Management and Pacific Crest Trail Assistance Agreement</w:t>
            </w:r>
          </w:p>
        </w:tc>
      </w:tr>
      <w:tr w:rsidR="004A1F86" w:rsidRPr="00683645" w:rsidTr="00A91C79">
        <w:tc>
          <w:tcPr>
            <w:tcW w:w="1191" w:type="pct"/>
          </w:tcPr>
          <w:p w:rsidR="004A1F86" w:rsidRPr="00A91C79" w:rsidRDefault="004A1F86" w:rsidP="00CB559F">
            <w:pPr>
              <w:rPr>
                <w:b/>
              </w:rPr>
            </w:pPr>
            <w:r w:rsidRPr="00A91C79">
              <w:rPr>
                <w:b/>
              </w:rPr>
              <w:t>Recipient</w:t>
            </w:r>
          </w:p>
        </w:tc>
        <w:tc>
          <w:tcPr>
            <w:tcW w:w="3809" w:type="pct"/>
          </w:tcPr>
          <w:p w:rsidR="004A1F86" w:rsidRPr="00D04D8B" w:rsidRDefault="00916B2C" w:rsidP="00CB559F">
            <w:r>
              <w:t>Pacific Crest Trail</w:t>
            </w:r>
          </w:p>
        </w:tc>
      </w:tr>
      <w:tr w:rsidR="004A1F86" w:rsidRPr="00683645" w:rsidTr="00A91C79">
        <w:tc>
          <w:tcPr>
            <w:tcW w:w="1191" w:type="pct"/>
          </w:tcPr>
          <w:p w:rsidR="004A1F86" w:rsidRPr="00A91C79" w:rsidRDefault="004A1F86" w:rsidP="00CB559F">
            <w:pPr>
              <w:rPr>
                <w:b/>
              </w:rPr>
            </w:pPr>
            <w:r w:rsidRPr="00A91C79">
              <w:rPr>
                <w:b/>
              </w:rPr>
              <w:t>Principle Investigator / Program Manager</w:t>
            </w:r>
          </w:p>
        </w:tc>
        <w:tc>
          <w:tcPr>
            <w:tcW w:w="3809" w:type="pct"/>
          </w:tcPr>
          <w:p w:rsidR="004A1F86" w:rsidRPr="00D04D8B" w:rsidRDefault="00916B2C" w:rsidP="00CB559F">
            <w:r>
              <w:t>Liz Bergeron, Director Pacific Crest Trail Association</w:t>
            </w:r>
          </w:p>
        </w:tc>
      </w:tr>
      <w:tr w:rsidR="004A1F86" w:rsidRPr="00683645" w:rsidTr="00A91C79">
        <w:tc>
          <w:tcPr>
            <w:tcW w:w="1191" w:type="pct"/>
          </w:tcPr>
          <w:p w:rsidR="004A1F86" w:rsidRPr="00A91C79" w:rsidRDefault="004A1F86" w:rsidP="00CB559F">
            <w:pPr>
              <w:rPr>
                <w:b/>
              </w:rPr>
            </w:pPr>
            <w:r w:rsidRPr="00A91C79">
              <w:rPr>
                <w:b/>
              </w:rPr>
              <w:t>Total Anticipated Award Amount</w:t>
            </w:r>
          </w:p>
        </w:tc>
        <w:tc>
          <w:tcPr>
            <w:tcW w:w="3809" w:type="pct"/>
            <w:vAlign w:val="center"/>
          </w:tcPr>
          <w:p w:rsidR="004A1F86" w:rsidRPr="00D04D8B" w:rsidRDefault="00916B2C" w:rsidP="00CB559F">
            <w:r>
              <w:t>$200,000</w:t>
            </w:r>
          </w:p>
        </w:tc>
      </w:tr>
      <w:tr w:rsidR="004A1F86" w:rsidRPr="00683645" w:rsidTr="00A91C79">
        <w:trPr>
          <w:trHeight w:val="377"/>
        </w:trPr>
        <w:tc>
          <w:tcPr>
            <w:tcW w:w="1191" w:type="pct"/>
            <w:vAlign w:val="center"/>
          </w:tcPr>
          <w:p w:rsidR="004A1F86" w:rsidRPr="00A91C79" w:rsidRDefault="004A1F86" w:rsidP="00CB559F">
            <w:pPr>
              <w:rPr>
                <w:b/>
              </w:rPr>
            </w:pPr>
            <w:r w:rsidRPr="00A91C79">
              <w:rPr>
                <w:b/>
              </w:rPr>
              <w:t>Cost Share</w:t>
            </w:r>
          </w:p>
        </w:tc>
        <w:tc>
          <w:tcPr>
            <w:tcW w:w="3809" w:type="pct"/>
            <w:vAlign w:val="center"/>
          </w:tcPr>
          <w:p w:rsidR="004A1F86" w:rsidRPr="00D04D8B" w:rsidRDefault="00916B2C" w:rsidP="00CB559F">
            <w:r>
              <w:t>No</w:t>
            </w:r>
          </w:p>
        </w:tc>
      </w:tr>
      <w:tr w:rsidR="004A1F86" w:rsidRPr="00683645" w:rsidTr="00A91C79">
        <w:tc>
          <w:tcPr>
            <w:tcW w:w="1191" w:type="pct"/>
          </w:tcPr>
          <w:p w:rsidR="004A1F86" w:rsidRPr="00A91C79" w:rsidRDefault="004A1F86" w:rsidP="00CB559F">
            <w:pPr>
              <w:rPr>
                <w:b/>
              </w:rPr>
            </w:pPr>
            <w:r w:rsidRPr="00A91C79">
              <w:rPr>
                <w:b/>
              </w:rPr>
              <w:t>New Award or Continuation?</w:t>
            </w:r>
          </w:p>
        </w:tc>
        <w:tc>
          <w:tcPr>
            <w:tcW w:w="3809" w:type="pct"/>
            <w:vAlign w:val="center"/>
          </w:tcPr>
          <w:p w:rsidR="004A1F86" w:rsidRPr="00D04D8B" w:rsidRDefault="001C31C6" w:rsidP="00CB559F">
            <w:r>
              <w:t>New a</w:t>
            </w:r>
            <w:r w:rsidR="00916B2C">
              <w:t>ward</w:t>
            </w:r>
          </w:p>
        </w:tc>
      </w:tr>
      <w:tr w:rsidR="004A1F86" w:rsidRPr="00683645" w:rsidTr="00A91C79">
        <w:tc>
          <w:tcPr>
            <w:tcW w:w="1191" w:type="pct"/>
          </w:tcPr>
          <w:p w:rsidR="004A1F86" w:rsidRPr="00A91C79" w:rsidRDefault="004A1F86" w:rsidP="00CB559F">
            <w:pPr>
              <w:rPr>
                <w:b/>
              </w:rPr>
            </w:pPr>
            <w:r w:rsidRPr="00A91C79">
              <w:rPr>
                <w:b/>
              </w:rPr>
              <w:t>Anticipated Length of Agreement</w:t>
            </w:r>
          </w:p>
        </w:tc>
        <w:tc>
          <w:tcPr>
            <w:tcW w:w="3809" w:type="pct"/>
            <w:vAlign w:val="center"/>
          </w:tcPr>
          <w:p w:rsidR="004A1F86" w:rsidRPr="00D04D8B" w:rsidRDefault="00916B2C" w:rsidP="00CB559F">
            <w:r>
              <w:t>Five</w:t>
            </w:r>
            <w:r w:rsidR="001C31C6">
              <w:t xml:space="preserve"> y</w:t>
            </w:r>
            <w:r>
              <w:t>ears</w:t>
            </w:r>
          </w:p>
        </w:tc>
      </w:tr>
      <w:tr w:rsidR="004A1F86" w:rsidRPr="00683645" w:rsidTr="00A91C79">
        <w:tc>
          <w:tcPr>
            <w:tcW w:w="1191" w:type="pct"/>
          </w:tcPr>
          <w:p w:rsidR="004A1F86" w:rsidRPr="00A91C79" w:rsidRDefault="004A1F86" w:rsidP="00CB559F">
            <w:pPr>
              <w:rPr>
                <w:b/>
              </w:rPr>
            </w:pPr>
            <w:r w:rsidRPr="00A91C79">
              <w:rPr>
                <w:b/>
              </w:rPr>
              <w:t>Anticipated Period of Performance</w:t>
            </w:r>
          </w:p>
        </w:tc>
        <w:tc>
          <w:tcPr>
            <w:tcW w:w="3809" w:type="pct"/>
            <w:vAlign w:val="center"/>
          </w:tcPr>
          <w:p w:rsidR="004A1F86" w:rsidRPr="00D04D8B" w:rsidRDefault="00916B2C" w:rsidP="00CB559F">
            <w:r>
              <w:t>September 2008 through August 2013</w:t>
            </w:r>
          </w:p>
        </w:tc>
      </w:tr>
      <w:tr w:rsidR="004A1F86" w:rsidRPr="00683645" w:rsidTr="00A91C79">
        <w:tc>
          <w:tcPr>
            <w:tcW w:w="1191" w:type="pct"/>
          </w:tcPr>
          <w:p w:rsidR="004A1F86" w:rsidRPr="00A91C79" w:rsidRDefault="004A1F86" w:rsidP="00CB559F">
            <w:pPr>
              <w:rPr>
                <w:b/>
              </w:rPr>
            </w:pPr>
            <w:r w:rsidRPr="00A91C79">
              <w:rPr>
                <w:b/>
              </w:rPr>
              <w:t>Award Instrument</w:t>
            </w:r>
          </w:p>
        </w:tc>
        <w:tc>
          <w:tcPr>
            <w:tcW w:w="3809" w:type="pct"/>
          </w:tcPr>
          <w:p w:rsidR="004A1F86" w:rsidRPr="00D04D8B" w:rsidRDefault="001C31C6" w:rsidP="00CB559F">
            <w:r>
              <w:t>Ass</w:t>
            </w:r>
            <w:r w:rsidR="00916B2C">
              <w:t>istance Agreement</w:t>
            </w:r>
          </w:p>
        </w:tc>
      </w:tr>
      <w:tr w:rsidR="004A1F86" w:rsidRPr="00683645" w:rsidTr="00A91C79">
        <w:tc>
          <w:tcPr>
            <w:tcW w:w="1191" w:type="pct"/>
          </w:tcPr>
          <w:p w:rsidR="004A1F86" w:rsidRPr="00A91C79" w:rsidRDefault="004A1F86" w:rsidP="00CB559F">
            <w:pPr>
              <w:rPr>
                <w:b/>
              </w:rPr>
            </w:pPr>
            <w:r w:rsidRPr="00A91C79">
              <w:rPr>
                <w:b/>
              </w:rPr>
              <w:t>Statutory Authority</w:t>
            </w:r>
          </w:p>
        </w:tc>
        <w:tc>
          <w:tcPr>
            <w:tcW w:w="3809" w:type="pct"/>
          </w:tcPr>
          <w:p w:rsidR="004A1F86" w:rsidRPr="00D04D8B" w:rsidRDefault="00916B2C" w:rsidP="00CB559F">
            <w:r w:rsidRPr="00A91C79">
              <w:rPr>
                <w:szCs w:val="20"/>
              </w:rPr>
              <w:t>The Federal Land Policy and Management Act of 1976 (FLPMA), as amended, 43 U.S.C, Section 307 (b) states that the Secretary may enter into contracts and cooperative agreements for the management, protection, development and sale of public lands.</w:t>
            </w:r>
          </w:p>
        </w:tc>
      </w:tr>
      <w:tr w:rsidR="004A1F86" w:rsidRPr="00683645" w:rsidTr="00A91C79">
        <w:tc>
          <w:tcPr>
            <w:tcW w:w="1191" w:type="pct"/>
          </w:tcPr>
          <w:p w:rsidR="004A1F86" w:rsidRPr="00A91C79" w:rsidRDefault="004A1F86" w:rsidP="00CB559F">
            <w:pPr>
              <w:rPr>
                <w:b/>
              </w:rPr>
            </w:pPr>
            <w:r w:rsidRPr="00A91C79">
              <w:rPr>
                <w:b/>
              </w:rPr>
              <w:t>CFDA # and Title</w:t>
            </w:r>
          </w:p>
        </w:tc>
        <w:tc>
          <w:tcPr>
            <w:tcW w:w="3809" w:type="pct"/>
          </w:tcPr>
          <w:p w:rsidR="004A1F86" w:rsidRPr="00D04D8B" w:rsidRDefault="00994F48" w:rsidP="00CB559F">
            <w:r>
              <w:t>15.225  - Recreational Resource Management</w:t>
            </w:r>
          </w:p>
        </w:tc>
      </w:tr>
      <w:tr w:rsidR="004A1F86" w:rsidRPr="00683645" w:rsidTr="00A91C79">
        <w:tc>
          <w:tcPr>
            <w:tcW w:w="1191" w:type="pct"/>
          </w:tcPr>
          <w:p w:rsidR="004A1F86" w:rsidRPr="00A91C79" w:rsidRDefault="004A1F86" w:rsidP="00CB559F">
            <w:pPr>
              <w:rPr>
                <w:b/>
              </w:rPr>
            </w:pPr>
            <w:r w:rsidRPr="00A91C79">
              <w:rPr>
                <w:b/>
              </w:rPr>
              <w:t>Single Source Justification Criteria Cited</w:t>
            </w:r>
          </w:p>
        </w:tc>
        <w:tc>
          <w:tcPr>
            <w:tcW w:w="3809" w:type="pct"/>
          </w:tcPr>
          <w:p w:rsidR="004A1F86" w:rsidRPr="00D04D8B" w:rsidRDefault="00916B2C" w:rsidP="00CB559F">
            <w:r>
              <w:t>Unique Qualifications</w:t>
            </w:r>
          </w:p>
        </w:tc>
      </w:tr>
      <w:tr w:rsidR="004A1F86" w:rsidRPr="00683645" w:rsidTr="00A91C79">
        <w:trPr>
          <w:trHeight w:val="440"/>
        </w:trPr>
        <w:tc>
          <w:tcPr>
            <w:tcW w:w="1191" w:type="pct"/>
          </w:tcPr>
          <w:p w:rsidR="004A1F86" w:rsidRPr="00A91C79" w:rsidRDefault="004A1F86" w:rsidP="00CB559F">
            <w:pPr>
              <w:rPr>
                <w:b/>
              </w:rPr>
            </w:pPr>
            <w:r w:rsidRPr="00A91C79">
              <w:rPr>
                <w:b/>
              </w:rPr>
              <w:t>BLM  Point of Contact</w:t>
            </w:r>
          </w:p>
        </w:tc>
        <w:tc>
          <w:tcPr>
            <w:tcW w:w="3809" w:type="pct"/>
            <w:vAlign w:val="center"/>
          </w:tcPr>
          <w:p w:rsidR="004A1F86" w:rsidRPr="00D04D8B" w:rsidRDefault="00916B2C" w:rsidP="00CB559F">
            <w:r>
              <w:t>Paul Brink, CA NLCS Coordinator, Bureau of Land Management, 2800 Cottage Way, Sacramento</w:t>
            </w:r>
            <w:r w:rsidR="001C31C6">
              <w:t>, California</w:t>
            </w:r>
          </w:p>
        </w:tc>
      </w:tr>
    </w:tbl>
    <w:p w:rsidR="004A1F86" w:rsidRDefault="004A1F86" w:rsidP="004A1F86"/>
    <w:p w:rsidR="004A1F86" w:rsidRDefault="004A1F86" w:rsidP="004A1F86"/>
    <w:p w:rsidR="004A1F86" w:rsidRPr="007B2A5C" w:rsidRDefault="004A1F86" w:rsidP="004A1F86">
      <w:pPr>
        <w:jc w:val="center"/>
        <w:rPr>
          <w:b/>
        </w:rPr>
      </w:pPr>
      <w:r>
        <w:rPr>
          <w:b/>
        </w:rPr>
        <w:t>OVERVIEW</w:t>
      </w:r>
    </w:p>
    <w:p w:rsidR="001C31C6" w:rsidRDefault="00916B2C" w:rsidP="00916B2C">
      <w:pPr>
        <w:tabs>
          <w:tab w:val="center" w:pos="5040"/>
        </w:tabs>
        <w:rPr>
          <w:sz w:val="24"/>
        </w:rPr>
      </w:pPr>
      <w:r w:rsidRPr="00916B2C">
        <w:rPr>
          <w:sz w:val="24"/>
        </w:rPr>
        <w:t xml:space="preserve"> </w:t>
      </w:r>
      <w:r w:rsidR="001C31C6">
        <w:rPr>
          <w:sz w:val="24"/>
        </w:rPr>
        <w:t xml:space="preserve">This agreement is designed to help the BLM </w:t>
      </w:r>
      <w:r w:rsidRPr="000C2DC5">
        <w:rPr>
          <w:sz w:val="24"/>
        </w:rPr>
        <w:t>complete a number of necessary projects on the Pacific Crest Natio</w:t>
      </w:r>
      <w:r w:rsidR="001C31C6">
        <w:rPr>
          <w:sz w:val="24"/>
        </w:rPr>
        <w:t>nal Scenic Trail (PCNST)</w:t>
      </w:r>
      <w:r w:rsidRPr="000C2DC5">
        <w:rPr>
          <w:sz w:val="24"/>
        </w:rPr>
        <w:t xml:space="preserve">.  </w:t>
      </w:r>
      <w:r w:rsidR="001C31C6">
        <w:rPr>
          <w:sz w:val="24"/>
        </w:rPr>
        <w:t xml:space="preserve">There is currently not enough staffing to complete all the projects on the trail necessary to keep the trail open.  On the other hand, the Pacific Crest Trail Association (PCTA), a non-profit organization whose sole focus is to educate and keep the trail open to hikers and equestrian users has over 5,000 volunteers and crews that could assist the BLM in completing the projects.  This agreement would </w:t>
      </w:r>
      <w:r w:rsidR="001C31C6">
        <w:rPr>
          <w:sz w:val="24"/>
        </w:rPr>
        <w:lastRenderedPageBreak/>
        <w:t>help provide funding to the PCTA to complete BLM projects tied to the PCNST.</w:t>
      </w:r>
    </w:p>
    <w:p w:rsidR="001C31C6" w:rsidRDefault="001C31C6" w:rsidP="00916B2C">
      <w:pPr>
        <w:tabs>
          <w:tab w:val="center" w:pos="5040"/>
        </w:tabs>
        <w:rPr>
          <w:sz w:val="24"/>
        </w:rPr>
      </w:pPr>
    </w:p>
    <w:p w:rsidR="00916B2C" w:rsidRPr="000C2DC5" w:rsidRDefault="00916B2C" w:rsidP="00916B2C">
      <w:pPr>
        <w:tabs>
          <w:tab w:val="center" w:pos="5040"/>
        </w:tabs>
        <w:rPr>
          <w:bCs/>
          <w:sz w:val="24"/>
        </w:rPr>
      </w:pPr>
      <w:r w:rsidRPr="000C2DC5">
        <w:rPr>
          <w:bCs/>
          <w:sz w:val="24"/>
        </w:rPr>
        <w:t xml:space="preserve">Projects vary but they could include trail construction, maintenance, trash clean-up, invasive weed removal, inventory, habitat restoration, planning, seeding, sediment and erosion control, user education, water developments, fence and barrier installations, and volunteer coordination. </w:t>
      </w:r>
    </w:p>
    <w:p w:rsidR="00916B2C" w:rsidRPr="000C2DC5" w:rsidRDefault="00916B2C" w:rsidP="00916B2C">
      <w:pPr>
        <w:tabs>
          <w:tab w:val="center" w:pos="5040"/>
        </w:tabs>
        <w:ind w:left="660"/>
        <w:rPr>
          <w:bCs/>
          <w:sz w:val="24"/>
        </w:rPr>
      </w:pPr>
    </w:p>
    <w:p w:rsidR="00916B2C" w:rsidRPr="000C2DC5" w:rsidRDefault="00916B2C" w:rsidP="00916B2C">
      <w:pPr>
        <w:tabs>
          <w:tab w:val="center" w:pos="5040"/>
        </w:tabs>
        <w:rPr>
          <w:bCs/>
          <w:sz w:val="24"/>
        </w:rPr>
      </w:pPr>
      <w:r w:rsidRPr="000C2DC5">
        <w:rPr>
          <w:bCs/>
          <w:sz w:val="24"/>
        </w:rPr>
        <w:t>The PCTA members, assigned crews and/or volunteers will also be required to travel to numerous work</w:t>
      </w:r>
      <w:r w:rsidR="001C31C6">
        <w:rPr>
          <w:bCs/>
          <w:sz w:val="24"/>
        </w:rPr>
        <w:t xml:space="preserve"> sites during the term of this agreement</w:t>
      </w:r>
      <w:r w:rsidRPr="000C2DC5">
        <w:rPr>
          <w:bCs/>
          <w:sz w:val="24"/>
        </w:rPr>
        <w:t xml:space="preserve">.  Tasks could include the use primitive skills within portions of the trails that are in wilderness areas such as non-motorized equipment and non-mechanized travel to accomplish assigned tasks.  In addition, backcountry skills such as remote camping are necessary.    </w:t>
      </w:r>
    </w:p>
    <w:p w:rsidR="00916B2C" w:rsidRPr="000C2DC5" w:rsidRDefault="00916B2C" w:rsidP="00916B2C">
      <w:pPr>
        <w:tabs>
          <w:tab w:val="center" w:pos="5040"/>
        </w:tabs>
        <w:ind w:left="660"/>
        <w:rPr>
          <w:bCs/>
          <w:sz w:val="24"/>
        </w:rPr>
      </w:pPr>
    </w:p>
    <w:p w:rsidR="004A1F86" w:rsidRDefault="00916B2C" w:rsidP="00916B2C">
      <w:r w:rsidRPr="000C2DC5">
        <w:rPr>
          <w:bCs/>
          <w:sz w:val="24"/>
        </w:rPr>
        <w:t xml:space="preserve">BLM will work cooperatively with the recipient to provide direction at the local project sites to obtain the necessary permits to complete each project.  A major benefit of the program is to introduce the PCTA to BLM and its resources.  </w:t>
      </w:r>
    </w:p>
    <w:p w:rsidR="004A1F86" w:rsidRDefault="004A1F86" w:rsidP="004A1F86">
      <w:pPr>
        <w:rPr>
          <w:b/>
        </w:rPr>
      </w:pPr>
    </w:p>
    <w:p w:rsidR="004A1F86" w:rsidRPr="00992641" w:rsidRDefault="004A1F86" w:rsidP="004A1F86">
      <w:pPr>
        <w:jc w:val="center"/>
        <w:rPr>
          <w:b/>
        </w:rPr>
      </w:pPr>
      <w:r>
        <w:rPr>
          <w:b/>
        </w:rPr>
        <w:t>RECIPIENT INVOLVEMENT</w:t>
      </w:r>
    </w:p>
    <w:p w:rsidR="004A1F86" w:rsidRDefault="004A1F86" w:rsidP="004A1F86"/>
    <w:p w:rsidR="00CF1FB1" w:rsidRDefault="00CF1FB1" w:rsidP="00CF1FB1">
      <w:pPr>
        <w:rPr>
          <w:sz w:val="24"/>
        </w:rPr>
      </w:pPr>
    </w:p>
    <w:p w:rsidR="00CF1FB1" w:rsidRDefault="00CF1FB1" w:rsidP="00CF1FB1">
      <w:pPr>
        <w:rPr>
          <w:sz w:val="24"/>
        </w:rPr>
      </w:pPr>
      <w:r>
        <w:rPr>
          <w:sz w:val="24"/>
        </w:rPr>
        <w:t>1.  Meet with the BLM’s PCNST coordinator on an annual basis before the start of the field season (generally in the fall of the year).  The goal is to design and complete mutually agreed work according to a defined schedule (called “Annual Work Schedule”) that will coordinate work and resource needs for the following year.</w:t>
      </w:r>
    </w:p>
    <w:p w:rsidR="00CF1FB1" w:rsidRDefault="00CF1FB1" w:rsidP="00CF1FB1">
      <w:pPr>
        <w:ind w:left="720"/>
        <w:rPr>
          <w:sz w:val="24"/>
        </w:rPr>
      </w:pPr>
    </w:p>
    <w:p w:rsidR="00CF1FB1" w:rsidRDefault="00CF1FB1" w:rsidP="00CF1FB1">
      <w:pPr>
        <w:rPr>
          <w:sz w:val="24"/>
        </w:rPr>
      </w:pPr>
      <w:r>
        <w:rPr>
          <w:sz w:val="24"/>
        </w:rPr>
        <w:t>2.  P</w:t>
      </w:r>
      <w:r w:rsidRPr="00177FD4">
        <w:rPr>
          <w:sz w:val="24"/>
        </w:rPr>
        <w:t>rovide the Bureau of Land Manage</w:t>
      </w:r>
      <w:r>
        <w:rPr>
          <w:sz w:val="24"/>
        </w:rPr>
        <w:t>ment Accomplishment R</w:t>
      </w:r>
      <w:r w:rsidRPr="00177FD4">
        <w:rPr>
          <w:sz w:val="24"/>
        </w:rPr>
        <w:t>eports</w:t>
      </w:r>
      <w:r>
        <w:rPr>
          <w:sz w:val="24"/>
        </w:rPr>
        <w:t xml:space="preserve"> and </w:t>
      </w:r>
      <w:r w:rsidRPr="00177FD4">
        <w:rPr>
          <w:sz w:val="24"/>
        </w:rPr>
        <w:t>photo documentation.  The format for these reports will be developed in cooperation with the BLM</w:t>
      </w:r>
      <w:r>
        <w:rPr>
          <w:sz w:val="24"/>
        </w:rPr>
        <w:t xml:space="preserve"> during the annual meeting.</w:t>
      </w:r>
    </w:p>
    <w:p w:rsidR="00CF1FB1" w:rsidRDefault="00CF1FB1" w:rsidP="00CF1FB1">
      <w:pPr>
        <w:ind w:left="360"/>
        <w:rPr>
          <w:sz w:val="24"/>
        </w:rPr>
      </w:pPr>
    </w:p>
    <w:p w:rsidR="00CF1FB1" w:rsidRDefault="00CF1FB1" w:rsidP="00CF1FB1">
      <w:pPr>
        <w:rPr>
          <w:sz w:val="24"/>
        </w:rPr>
      </w:pPr>
      <w:r>
        <w:rPr>
          <w:sz w:val="24"/>
        </w:rPr>
        <w:t>3.  M</w:t>
      </w:r>
      <w:r w:rsidRPr="00177FD4">
        <w:rPr>
          <w:sz w:val="24"/>
        </w:rPr>
        <w:t>anage project expenses as outlined in the copy of the attached budget estimate</w:t>
      </w:r>
    </w:p>
    <w:p w:rsidR="00CF1FB1" w:rsidRDefault="00CF1FB1" w:rsidP="00CF1FB1">
      <w:pPr>
        <w:widowControl/>
        <w:autoSpaceDE/>
        <w:autoSpaceDN/>
        <w:adjustRightInd/>
        <w:rPr>
          <w:b/>
          <w:sz w:val="24"/>
        </w:rPr>
      </w:pPr>
    </w:p>
    <w:p w:rsidR="00CF1FB1" w:rsidRDefault="00CF1FB1" w:rsidP="00CF1FB1">
      <w:pPr>
        <w:widowControl/>
        <w:autoSpaceDE/>
        <w:autoSpaceDN/>
        <w:adjustRightInd/>
        <w:rPr>
          <w:sz w:val="24"/>
        </w:rPr>
      </w:pPr>
      <w:r>
        <w:rPr>
          <w:sz w:val="24"/>
        </w:rPr>
        <w:t>4.  P</w:t>
      </w:r>
      <w:r w:rsidRPr="00177FD4">
        <w:rPr>
          <w:sz w:val="24"/>
        </w:rPr>
        <w:t>rovide financial oversight in order to allow the BLM to allocate costs to appropriate cost centers based on the work that was completed.</w:t>
      </w:r>
    </w:p>
    <w:p w:rsidR="00CF1FB1" w:rsidRDefault="00CF1FB1" w:rsidP="00CF1FB1">
      <w:pPr>
        <w:widowControl/>
        <w:autoSpaceDE/>
        <w:autoSpaceDN/>
        <w:adjustRightInd/>
        <w:ind w:left="720"/>
        <w:rPr>
          <w:sz w:val="24"/>
        </w:rPr>
      </w:pPr>
    </w:p>
    <w:p w:rsidR="00CF1FB1" w:rsidRDefault="00CF1FB1" w:rsidP="00CF1FB1">
      <w:pPr>
        <w:widowControl/>
        <w:autoSpaceDE/>
        <w:autoSpaceDN/>
        <w:adjustRightInd/>
        <w:rPr>
          <w:sz w:val="24"/>
        </w:rPr>
      </w:pPr>
      <w:r>
        <w:rPr>
          <w:sz w:val="24"/>
        </w:rPr>
        <w:t xml:space="preserve">5.  </w:t>
      </w:r>
      <w:r w:rsidR="00F942FA">
        <w:rPr>
          <w:sz w:val="24"/>
        </w:rPr>
        <w:t>be</w:t>
      </w:r>
      <w:r w:rsidRPr="00177FD4">
        <w:rPr>
          <w:sz w:val="24"/>
        </w:rPr>
        <w:t xml:space="preserve"> available for resoluti</w:t>
      </w:r>
      <w:r>
        <w:rPr>
          <w:sz w:val="24"/>
        </w:rPr>
        <w:t>on of issues related associated with assigned work on the PCNST.</w:t>
      </w:r>
    </w:p>
    <w:p w:rsidR="004A1F86" w:rsidRDefault="004A1F86" w:rsidP="004A1F86"/>
    <w:p w:rsidR="00F942FA" w:rsidRDefault="00F942FA" w:rsidP="004A1F86"/>
    <w:p w:rsidR="004A1F86" w:rsidRDefault="004A1F86" w:rsidP="004A1F86">
      <w:pPr>
        <w:jc w:val="center"/>
        <w:rPr>
          <w:b/>
        </w:rPr>
      </w:pPr>
      <w:proofErr w:type="gramStart"/>
      <w:r>
        <w:rPr>
          <w:b/>
        </w:rPr>
        <w:t>BLM  INVOLVEMENT</w:t>
      </w:r>
      <w:proofErr w:type="gramEnd"/>
    </w:p>
    <w:p w:rsidR="004A1F86" w:rsidRDefault="004A1F86" w:rsidP="004A1F86">
      <w:pPr>
        <w:rPr>
          <w:b/>
        </w:rPr>
      </w:pPr>
    </w:p>
    <w:p w:rsidR="004A1F86" w:rsidRDefault="004A1F86" w:rsidP="004A1F86"/>
    <w:p w:rsidR="004A1F86" w:rsidRPr="00CF1FB1" w:rsidRDefault="004A1F86" w:rsidP="004A1F86">
      <w:pPr>
        <w:rPr>
          <w:sz w:val="24"/>
        </w:rPr>
      </w:pPr>
      <w:r w:rsidRPr="00CF1FB1">
        <w:rPr>
          <w:sz w:val="24"/>
        </w:rPr>
        <w:t>Substantial involvement on the part BLM is anticipated for the successful completion of the objectives to be funded by this award.  In particular, BLM will be responsible for the following:</w:t>
      </w:r>
    </w:p>
    <w:p w:rsidR="004A1F86" w:rsidRDefault="004A1F86" w:rsidP="004A1F86"/>
    <w:p w:rsidR="00CF1FB1" w:rsidRDefault="002B47EE" w:rsidP="00CF1FB1">
      <w:pPr>
        <w:ind w:left="720"/>
        <w:rPr>
          <w:sz w:val="24"/>
        </w:rPr>
      </w:pPr>
      <w:r>
        <w:rPr>
          <w:sz w:val="24"/>
        </w:rPr>
        <w:t>1. Provide</w:t>
      </w:r>
      <w:r w:rsidR="00CF1FB1" w:rsidRPr="006B0F20">
        <w:rPr>
          <w:sz w:val="24"/>
        </w:rPr>
        <w:t xml:space="preserve"> an “agency </w:t>
      </w:r>
      <w:r w:rsidR="00CF1FB1">
        <w:rPr>
          <w:sz w:val="24"/>
        </w:rPr>
        <w:t>contact</w:t>
      </w:r>
      <w:r w:rsidR="00CF1FB1" w:rsidRPr="006B0F20">
        <w:rPr>
          <w:sz w:val="24"/>
        </w:rPr>
        <w:t xml:space="preserve">” </w:t>
      </w:r>
      <w:r w:rsidR="00CF1FB1">
        <w:rPr>
          <w:sz w:val="24"/>
        </w:rPr>
        <w:t>for assigned project identified in the Annual Work Schedule” to assist the PCTA during the work.</w:t>
      </w:r>
    </w:p>
    <w:p w:rsidR="00CF1FB1" w:rsidRDefault="00CF1FB1" w:rsidP="00CF1FB1">
      <w:pPr>
        <w:ind w:left="720"/>
        <w:rPr>
          <w:sz w:val="24"/>
        </w:rPr>
      </w:pPr>
    </w:p>
    <w:p w:rsidR="00CF1FB1" w:rsidRDefault="00CF1FB1" w:rsidP="00CF1FB1">
      <w:pPr>
        <w:ind w:left="720"/>
        <w:rPr>
          <w:sz w:val="24"/>
        </w:rPr>
      </w:pPr>
      <w:r>
        <w:rPr>
          <w:sz w:val="24"/>
        </w:rPr>
        <w:t>2.  P</w:t>
      </w:r>
      <w:r w:rsidRPr="006B0F20">
        <w:rPr>
          <w:sz w:val="24"/>
        </w:rPr>
        <w:t xml:space="preserve">rovide standards and protocols for </w:t>
      </w:r>
      <w:r>
        <w:rPr>
          <w:sz w:val="24"/>
        </w:rPr>
        <w:t xml:space="preserve">work at </w:t>
      </w:r>
      <w:r w:rsidRPr="006B0F20">
        <w:rPr>
          <w:sz w:val="24"/>
        </w:rPr>
        <w:t>the project sites</w:t>
      </w:r>
    </w:p>
    <w:p w:rsidR="00CF1FB1" w:rsidRDefault="00CF1FB1" w:rsidP="00CF1FB1">
      <w:pPr>
        <w:ind w:left="720"/>
        <w:rPr>
          <w:sz w:val="24"/>
        </w:rPr>
      </w:pPr>
    </w:p>
    <w:p w:rsidR="00CF1FB1" w:rsidRDefault="00CF1FB1" w:rsidP="00CF1FB1">
      <w:pPr>
        <w:ind w:left="720"/>
        <w:rPr>
          <w:sz w:val="24"/>
        </w:rPr>
      </w:pPr>
      <w:r>
        <w:rPr>
          <w:sz w:val="24"/>
        </w:rPr>
        <w:t>3.  P</w:t>
      </w:r>
      <w:r w:rsidRPr="006B0F20">
        <w:rPr>
          <w:sz w:val="24"/>
        </w:rPr>
        <w:t>rovide necessary materials (plants, signage, brochures etc.) for completion of projects</w:t>
      </w:r>
    </w:p>
    <w:p w:rsidR="00CF1FB1" w:rsidRDefault="00CF1FB1" w:rsidP="00CF1FB1">
      <w:pPr>
        <w:ind w:left="720"/>
        <w:rPr>
          <w:sz w:val="24"/>
        </w:rPr>
      </w:pPr>
    </w:p>
    <w:p w:rsidR="00CF1FB1" w:rsidRDefault="00CF1FB1" w:rsidP="00CF1FB1">
      <w:pPr>
        <w:ind w:left="720"/>
        <w:rPr>
          <w:sz w:val="24"/>
        </w:rPr>
      </w:pPr>
      <w:r>
        <w:rPr>
          <w:sz w:val="24"/>
        </w:rPr>
        <w:t>4.  P</w:t>
      </w:r>
      <w:r w:rsidRPr="006B0F20">
        <w:rPr>
          <w:sz w:val="24"/>
        </w:rPr>
        <w:t>rovide worker’s compensation insurance for all intern volunteers through the BLM volunteer authorities</w:t>
      </w:r>
      <w:r>
        <w:rPr>
          <w:sz w:val="24"/>
        </w:rPr>
        <w:t>.</w:t>
      </w:r>
    </w:p>
    <w:p w:rsidR="00CF1FB1" w:rsidRDefault="00CF1FB1" w:rsidP="00CF1FB1">
      <w:pPr>
        <w:ind w:left="720"/>
        <w:rPr>
          <w:sz w:val="24"/>
        </w:rPr>
      </w:pPr>
    </w:p>
    <w:p w:rsidR="00CF1FB1" w:rsidRDefault="00CF1FB1" w:rsidP="00CF1FB1">
      <w:pPr>
        <w:ind w:left="720"/>
        <w:rPr>
          <w:sz w:val="24"/>
        </w:rPr>
      </w:pPr>
      <w:r>
        <w:rPr>
          <w:sz w:val="24"/>
        </w:rPr>
        <w:t>5.  D</w:t>
      </w:r>
      <w:r w:rsidRPr="006B0F20">
        <w:rPr>
          <w:sz w:val="24"/>
        </w:rPr>
        <w:t>evelop data collection, mapping and monitoring protocols for activities</w:t>
      </w:r>
      <w:r>
        <w:rPr>
          <w:sz w:val="24"/>
        </w:rPr>
        <w:t>.</w:t>
      </w:r>
    </w:p>
    <w:p w:rsidR="00CF1FB1" w:rsidRDefault="00CF1FB1" w:rsidP="00CF1FB1">
      <w:pPr>
        <w:ind w:left="720"/>
        <w:rPr>
          <w:sz w:val="24"/>
        </w:rPr>
      </w:pPr>
    </w:p>
    <w:p w:rsidR="00CF1FB1" w:rsidRDefault="00CF1FB1" w:rsidP="00CF1FB1">
      <w:pPr>
        <w:ind w:left="720"/>
        <w:rPr>
          <w:sz w:val="24"/>
        </w:rPr>
      </w:pPr>
      <w:r>
        <w:rPr>
          <w:sz w:val="24"/>
        </w:rPr>
        <w:t>6.  Will modify the location and type of work initially provided when mutually agreeable with the Recipient</w:t>
      </w:r>
    </w:p>
    <w:p w:rsidR="00CF1FB1" w:rsidRDefault="00CF1FB1" w:rsidP="00CF1FB1">
      <w:pPr>
        <w:ind w:left="720"/>
        <w:rPr>
          <w:sz w:val="24"/>
        </w:rPr>
      </w:pPr>
    </w:p>
    <w:p w:rsidR="00CF1FB1" w:rsidRDefault="00CF1FB1" w:rsidP="00CF1FB1">
      <w:pPr>
        <w:ind w:left="720"/>
        <w:rPr>
          <w:sz w:val="24"/>
        </w:rPr>
      </w:pPr>
      <w:r>
        <w:rPr>
          <w:sz w:val="24"/>
        </w:rPr>
        <w:t>7.  Provide payments to the Recipient as defined in this agreement</w:t>
      </w:r>
    </w:p>
    <w:p w:rsidR="004A1F86" w:rsidRDefault="004A1F86" w:rsidP="004A1F86"/>
    <w:p w:rsidR="004A1F86" w:rsidRDefault="004A1F86" w:rsidP="004A1F86"/>
    <w:p w:rsidR="004A1F86" w:rsidRDefault="004A1F86" w:rsidP="004A1F86"/>
    <w:p w:rsidR="004A1F86" w:rsidRDefault="004A1F86" w:rsidP="004A1F86"/>
    <w:p w:rsidR="004A1F86" w:rsidRDefault="004A1F86" w:rsidP="004A1F86"/>
    <w:p w:rsidR="004A1F86" w:rsidRDefault="004A1F86" w:rsidP="004A1F86">
      <w:pPr>
        <w:jc w:val="center"/>
        <w:rPr>
          <w:b/>
        </w:rPr>
      </w:pPr>
      <w:r>
        <w:rPr>
          <w:b/>
        </w:rPr>
        <w:t>SINGLE-SOURCE JUSTIFICATION</w:t>
      </w:r>
    </w:p>
    <w:p w:rsidR="004A1F86" w:rsidRDefault="004A1F86" w:rsidP="004A1F86"/>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tblPr>
      <w:tblGrid>
        <w:gridCol w:w="9288"/>
      </w:tblGrid>
      <w:tr w:rsidR="004A1F86" w:rsidTr="00A91C79">
        <w:trPr>
          <w:trHeight w:val="762"/>
        </w:trPr>
        <w:tc>
          <w:tcPr>
            <w:tcW w:w="9288" w:type="dxa"/>
            <w:tcBorders>
              <w:top w:val="double" w:sz="4" w:space="0" w:color="auto"/>
              <w:bottom w:val="double" w:sz="4" w:space="0" w:color="auto"/>
            </w:tcBorders>
            <w:shd w:val="clear" w:color="auto" w:fill="CB9F5B"/>
            <w:vAlign w:val="center"/>
          </w:tcPr>
          <w:p w:rsidR="004A1F86" w:rsidRPr="00A91C79" w:rsidRDefault="004A1F86" w:rsidP="00A91C79">
            <w:pPr>
              <w:jc w:val="center"/>
              <w:rPr>
                <w:b/>
              </w:rPr>
            </w:pPr>
            <w:r w:rsidRPr="00A91C79">
              <w:rPr>
                <w:b/>
              </w:rPr>
              <w:t>DEPARTMENT OF THE INTERIOR</w:t>
            </w:r>
          </w:p>
          <w:p w:rsidR="004A1F86" w:rsidRPr="00A91C79" w:rsidRDefault="004A1F86" w:rsidP="00A91C79">
            <w:pPr>
              <w:jc w:val="center"/>
              <w:rPr>
                <w:b/>
              </w:rPr>
            </w:pPr>
            <w:r w:rsidRPr="00A91C79">
              <w:rPr>
                <w:b/>
              </w:rPr>
              <w:t>SINGLE SOURCE POLICY REQUIREMENTS</w:t>
            </w:r>
          </w:p>
        </w:tc>
      </w:tr>
      <w:tr w:rsidR="004A1F86" w:rsidTr="00A91C79">
        <w:tc>
          <w:tcPr>
            <w:tcW w:w="9288" w:type="dxa"/>
            <w:tcBorders>
              <w:top w:val="double" w:sz="4" w:space="0" w:color="auto"/>
            </w:tcBorders>
          </w:tcPr>
          <w:p w:rsidR="004A1F86" w:rsidRDefault="004A1F86" w:rsidP="00CB559F"/>
          <w:p w:rsidR="004A1F86" w:rsidRDefault="004A1F86" w:rsidP="00CB559F">
            <w:r>
              <w:t>Department of the Interior Policy (505 DM 2) requires a written justification which explains why competition is not practicable for each single-source award.  The justification must address one or more of the following criteria as well as discussion of the program legislative history, unique capabilities of the proposed recipient, and cost-sharing contribution offered by the proposed recipient, as applicable.</w:t>
            </w:r>
          </w:p>
          <w:p w:rsidR="004A1F86" w:rsidRDefault="004A1F86" w:rsidP="00CB559F"/>
        </w:tc>
      </w:tr>
      <w:tr w:rsidR="004A1F86" w:rsidTr="00A91C79">
        <w:tc>
          <w:tcPr>
            <w:tcW w:w="9288" w:type="dxa"/>
          </w:tcPr>
          <w:p w:rsidR="004A1F86" w:rsidRDefault="004A1F86" w:rsidP="00CB559F"/>
          <w:p w:rsidR="004A1F86" w:rsidRDefault="004A1F86" w:rsidP="00CB559F">
            <w:r>
              <w:t>In order for an assistance award to be made without competition, the award must satisfy one or more of the following criteria:</w:t>
            </w:r>
          </w:p>
          <w:p w:rsidR="004A1F86" w:rsidRDefault="004A1F86" w:rsidP="00CB559F"/>
          <w:p w:rsidR="004A1F86" w:rsidRDefault="004A1F86" w:rsidP="00A91C79">
            <w:pPr>
              <w:widowControl/>
              <w:numPr>
                <w:ilvl w:val="0"/>
                <w:numId w:val="17"/>
              </w:numPr>
              <w:tabs>
                <w:tab w:val="clear" w:pos="2376"/>
                <w:tab w:val="num" w:pos="720"/>
              </w:tabs>
              <w:autoSpaceDE/>
              <w:autoSpaceDN/>
              <w:adjustRightInd/>
              <w:ind w:left="720"/>
            </w:pPr>
            <w:r>
              <w:t>Unsolicited Proposal – The proposed award is the result of an unsolicited assistance application which represents a unique or innovative idea, method, or approach which is not the subject of a current or planned contract or assistance award, but which is deemed advantageous to the program objectives;</w:t>
            </w:r>
          </w:p>
          <w:p w:rsidR="004A1F86" w:rsidRDefault="004A1F86" w:rsidP="00CB559F"/>
          <w:p w:rsidR="004A1F86" w:rsidRDefault="004A1F86" w:rsidP="00A91C79">
            <w:pPr>
              <w:widowControl/>
              <w:numPr>
                <w:ilvl w:val="0"/>
                <w:numId w:val="17"/>
              </w:numPr>
              <w:tabs>
                <w:tab w:val="clear" w:pos="2376"/>
                <w:tab w:val="num" w:pos="720"/>
              </w:tabs>
              <w:autoSpaceDE/>
              <w:autoSpaceDN/>
              <w:adjustRightInd/>
              <w:ind w:left="720"/>
            </w:pPr>
            <w:r>
              <w:t>Continuation – The activity to be funded is necessary to the satisfactory completion of, or is a continuation of an activity presently being funded, and for which competition would have a significant adverse effect on the continuity or completion of the activity;</w:t>
            </w:r>
          </w:p>
          <w:p w:rsidR="004A1F86" w:rsidRDefault="004A1F86" w:rsidP="00CB559F"/>
          <w:p w:rsidR="004A1F86" w:rsidRDefault="004A1F86" w:rsidP="00A91C79">
            <w:pPr>
              <w:widowControl/>
              <w:numPr>
                <w:ilvl w:val="0"/>
                <w:numId w:val="17"/>
              </w:numPr>
              <w:tabs>
                <w:tab w:val="clear" w:pos="2376"/>
                <w:tab w:val="num" w:pos="720"/>
              </w:tabs>
              <w:autoSpaceDE/>
              <w:autoSpaceDN/>
              <w:adjustRightInd/>
              <w:ind w:left="720"/>
            </w:pPr>
            <w:r>
              <w:t>Legislative intent – The language in the applicable authorizing legislation or legislative history clearly indicates Congress’ intent to restrict the award to a particular recipient of purpose;</w:t>
            </w:r>
          </w:p>
          <w:p w:rsidR="004A1F86" w:rsidRDefault="004A1F86" w:rsidP="00CB559F"/>
          <w:p w:rsidR="004A1F86" w:rsidRDefault="004A1F86" w:rsidP="00A91C79">
            <w:pPr>
              <w:widowControl/>
              <w:numPr>
                <w:ilvl w:val="0"/>
                <w:numId w:val="17"/>
              </w:numPr>
              <w:tabs>
                <w:tab w:val="clear" w:pos="2376"/>
                <w:tab w:val="num" w:pos="720"/>
              </w:tabs>
              <w:autoSpaceDE/>
              <w:autoSpaceDN/>
              <w:adjustRightInd/>
              <w:ind w:left="720"/>
            </w:pPr>
            <w:r>
              <w:t>Unique Qualifications – The applicant is uniquely qualified to perform the activity based upon a variety of demonstrable factors such as location, property ownership, voluntary support capacity, cost-sharing ability if applicable, technical expertise, or other such unique qualifications;</w:t>
            </w:r>
          </w:p>
          <w:p w:rsidR="004A1F86" w:rsidRDefault="004A1F86" w:rsidP="00CB559F"/>
          <w:p w:rsidR="004A1F86" w:rsidRDefault="004A1F86" w:rsidP="00A91C79">
            <w:pPr>
              <w:widowControl/>
              <w:numPr>
                <w:ilvl w:val="0"/>
                <w:numId w:val="17"/>
              </w:numPr>
              <w:tabs>
                <w:tab w:val="clear" w:pos="2376"/>
                <w:tab w:val="num" w:pos="720"/>
              </w:tabs>
              <w:autoSpaceDE/>
              <w:autoSpaceDN/>
              <w:adjustRightInd/>
              <w:ind w:left="720"/>
            </w:pPr>
            <w:r>
              <w:t>Emergencies – Program/award where there is insufficient time available (due to a compelling and unusual urgency, or substantial danger to health or safety) for adequate competitive procedures to be followed.</w:t>
            </w:r>
          </w:p>
          <w:p w:rsidR="004A1F86" w:rsidRDefault="004A1F86" w:rsidP="00CB559F"/>
        </w:tc>
      </w:tr>
    </w:tbl>
    <w:p w:rsidR="004A1F86" w:rsidRDefault="004A1F86" w:rsidP="004A1F86"/>
    <w:p w:rsidR="004A1F86" w:rsidRDefault="004A1F86" w:rsidP="004A1F86">
      <w:r>
        <w:t>BLM did not solicit full and open competition for this award based the following criteria:</w:t>
      </w:r>
    </w:p>
    <w:p w:rsidR="004A1F86" w:rsidRDefault="004A1F86" w:rsidP="004A1F86"/>
    <w:p w:rsidR="004A1F86" w:rsidRPr="005C5E43" w:rsidRDefault="004A1F86" w:rsidP="004A1F86">
      <w:pPr>
        <w:rPr>
          <w:b/>
          <w:caps/>
          <w:color w:val="0000FF"/>
        </w:rPr>
      </w:pPr>
      <w:r w:rsidRPr="005C5E43">
        <w:rPr>
          <w:b/>
          <w:caps/>
          <w:color w:val="0000FF"/>
        </w:rPr>
        <w:t>(</w:t>
      </w:r>
      <w:r w:rsidRPr="001C31C6">
        <w:rPr>
          <w:b/>
          <w:caps/>
        </w:rPr>
        <w:t>4) Unique Qualifications</w:t>
      </w:r>
    </w:p>
    <w:p w:rsidR="00CF1FB1" w:rsidRDefault="00CF1FB1" w:rsidP="00CF1FB1"/>
    <w:p w:rsidR="004A1F86" w:rsidRDefault="004A1F86" w:rsidP="004A1F86">
      <w:pPr>
        <w:jc w:val="center"/>
        <w:rPr>
          <w:b/>
        </w:rPr>
      </w:pPr>
      <w:r>
        <w:rPr>
          <w:b/>
        </w:rPr>
        <w:t>Single Source Justification Description:</w:t>
      </w:r>
    </w:p>
    <w:p w:rsidR="004A1F86" w:rsidRDefault="004A1F86" w:rsidP="004A1F86">
      <w:r w:rsidRPr="00C7289A">
        <w:t xml:space="preserve"> </w:t>
      </w:r>
    </w:p>
    <w:p w:rsidR="00CF1FB1" w:rsidRPr="000C2DC5" w:rsidRDefault="00CF1FB1" w:rsidP="00CF1FB1">
      <w:pPr>
        <w:rPr>
          <w:bCs/>
          <w:sz w:val="24"/>
        </w:rPr>
      </w:pPr>
      <w:r w:rsidRPr="000C2DC5">
        <w:rPr>
          <w:bCs/>
          <w:sz w:val="24"/>
        </w:rPr>
        <w:t xml:space="preserve">The PCNST was designated by Congress on October 2, 1968 with the Forest Service being assigned by Congress overall responsibility for administration of the trail.  However over 140 miles of the trail traverse </w:t>
      </w:r>
      <w:r w:rsidRPr="000C2DC5">
        <w:rPr>
          <w:bCs/>
          <w:sz w:val="24"/>
        </w:rPr>
        <w:lastRenderedPageBreak/>
        <w:t xml:space="preserve">BLM administrative lands.  By agreement between the Secretary of Agriculture and the Secretary of Interior the BLM was assigned trail management responsibilities on certain portions of the trail.  </w:t>
      </w:r>
    </w:p>
    <w:p w:rsidR="00CF1FB1" w:rsidRPr="000C2DC5" w:rsidRDefault="00CF1FB1" w:rsidP="00CF1FB1">
      <w:pPr>
        <w:ind w:left="660"/>
        <w:rPr>
          <w:bCs/>
          <w:sz w:val="24"/>
        </w:rPr>
      </w:pPr>
    </w:p>
    <w:p w:rsidR="00CF1FB1" w:rsidRPr="000C2DC5" w:rsidRDefault="00CF1FB1" w:rsidP="00CF1FB1">
      <w:pPr>
        <w:rPr>
          <w:sz w:val="24"/>
        </w:rPr>
      </w:pPr>
      <w:r w:rsidRPr="000C2DC5">
        <w:rPr>
          <w:sz w:val="24"/>
        </w:rPr>
        <w:t>The PCTA is a major non-profit partner with the FS and BLM for assisting the agency in managing the PCNST.  Its mission is to protect, preserve and promote the PCNST so as to reflect its world-class significance for the enjoyment, education and adventure of hikers and equestrians</w:t>
      </w:r>
      <w:proofErr w:type="gramStart"/>
      <w:r w:rsidRPr="000C2DC5">
        <w:rPr>
          <w:sz w:val="24"/>
        </w:rPr>
        <w:t xml:space="preserve">. </w:t>
      </w:r>
      <w:proofErr w:type="gramEnd"/>
      <w:r w:rsidRPr="000C2DC5">
        <w:rPr>
          <w:sz w:val="24"/>
        </w:rPr>
        <w:t xml:space="preserve">It has donated more than hundreds of thousands of dollars and devoted nearly 50,000 hours/per year of volunteer time to support the management and protection of the PCNST.  Through a Memorandum of Understanding (MOU) with the BLM, FS, the National Park Service, and </w:t>
      </w:r>
      <w:smartTag w:uri="urn:schemas-microsoft-com:office:smarttags" w:element="place">
        <w:smartTag w:uri="urn:schemas-microsoft-com:office:smarttags" w:element="PlaceName">
          <w:r w:rsidRPr="000C2DC5">
            <w:rPr>
              <w:sz w:val="24"/>
            </w:rPr>
            <w:t>California</w:t>
          </w:r>
        </w:smartTag>
        <w:r w:rsidRPr="000C2DC5">
          <w:rPr>
            <w:sz w:val="24"/>
          </w:rPr>
          <w:t xml:space="preserve"> </w:t>
        </w:r>
        <w:smartTag w:uri="urn:schemas-microsoft-com:office:smarttags" w:element="PlaceType">
          <w:r w:rsidRPr="000C2DC5">
            <w:rPr>
              <w:sz w:val="24"/>
            </w:rPr>
            <w:t>State Parks</w:t>
          </w:r>
        </w:smartTag>
      </w:smartTag>
      <w:r w:rsidRPr="000C2DC5">
        <w:rPr>
          <w:sz w:val="24"/>
        </w:rPr>
        <w:t xml:space="preserve">, the PCTA is to facilitate the management of the trail, coordinate the development and distribution of educational materials, and encourage volunteer involvement and to recognize the PCTA as the government’s major partner in the operation and management of the PCNST.  </w:t>
      </w:r>
    </w:p>
    <w:p w:rsidR="00CF1FB1" w:rsidRPr="000C2DC5" w:rsidRDefault="00CF1FB1" w:rsidP="00CF1FB1">
      <w:pPr>
        <w:ind w:left="720"/>
        <w:rPr>
          <w:sz w:val="24"/>
        </w:rPr>
      </w:pPr>
    </w:p>
    <w:p w:rsidR="00CF1FB1" w:rsidRDefault="00CF1FB1" w:rsidP="00CF1FB1">
      <w:pPr>
        <w:rPr>
          <w:bCs/>
          <w:sz w:val="24"/>
        </w:rPr>
      </w:pPr>
      <w:r w:rsidRPr="000C2DC5">
        <w:rPr>
          <w:sz w:val="24"/>
        </w:rPr>
        <w:t xml:space="preserve">Through the MOU, the PCTA specifically agreed to work cooperatively and coordinate with the management and operation of the PCNST, including trail maintenance, signing, trail use surveys, water development, adopt-a-trail programs and construction and maintenance activities.  </w:t>
      </w:r>
      <w:r w:rsidRPr="000C2DC5">
        <w:rPr>
          <w:bCs/>
          <w:sz w:val="24"/>
        </w:rPr>
        <w:t>This agreement will include fund so the PCTA can complete these tasks on the portion of the PCTA that the BLM has been assigned management responsibilities.  The funding wi</w:t>
      </w:r>
      <w:r>
        <w:rPr>
          <w:bCs/>
          <w:sz w:val="24"/>
        </w:rPr>
        <w:t>ll generally be available from 9/01/08 through 8/31</w:t>
      </w:r>
      <w:r w:rsidRPr="000C2DC5">
        <w:rPr>
          <w:bCs/>
          <w:sz w:val="24"/>
        </w:rPr>
        <w:t>/2013</w:t>
      </w:r>
      <w:r>
        <w:rPr>
          <w:bCs/>
          <w:sz w:val="24"/>
        </w:rPr>
        <w:t>.</w:t>
      </w:r>
    </w:p>
    <w:p w:rsidR="004A1F86" w:rsidRPr="00683645" w:rsidRDefault="004A1F86" w:rsidP="004A1F86"/>
    <w:p w:rsidR="004A1F86" w:rsidRDefault="004A1F86" w:rsidP="004A1F86">
      <w:pPr>
        <w:jc w:val="center"/>
        <w:rPr>
          <w:b/>
        </w:rPr>
      </w:pPr>
    </w:p>
    <w:p w:rsidR="004A1F86" w:rsidRPr="00E70EBA" w:rsidRDefault="004A1F86" w:rsidP="004A1F86">
      <w:pPr>
        <w:jc w:val="center"/>
        <w:rPr>
          <w:b/>
        </w:rPr>
      </w:pPr>
      <w:r>
        <w:rPr>
          <w:b/>
        </w:rPr>
        <w:t>STATUTORY AUTHORITY</w:t>
      </w:r>
    </w:p>
    <w:p w:rsidR="004A1F86" w:rsidRDefault="004A1F86" w:rsidP="004A1F86"/>
    <w:p w:rsidR="004A1F86" w:rsidRPr="001C31C6" w:rsidRDefault="00CF1FB1">
      <w:pPr>
        <w:ind w:left="-288"/>
        <w:rPr>
          <w:rFonts w:ascii="CG Times" w:hAnsi="CG Times"/>
          <w:b/>
          <w:sz w:val="24"/>
        </w:rPr>
      </w:pPr>
      <w:r w:rsidRPr="001C31C6">
        <w:rPr>
          <w:sz w:val="24"/>
        </w:rPr>
        <w:t>The Federal Land Policy and Management Act of 1976 (FLPMA), as amended, 43 U.S.C, Section 307 (b) states that the Secretary may enter into contracts and cooperative agreements for the management, protection, development and sale of public lands</w:t>
      </w:r>
    </w:p>
    <w:sectPr w:rsidR="004A1F86" w:rsidRPr="001C31C6" w:rsidSect="004A1F86">
      <w:footerReference w:type="even" r:id="rId9"/>
      <w:footerReference w:type="default" r:id="rId10"/>
      <w:pgSz w:w="12240" w:h="15840"/>
      <w:pgMar w:top="1260" w:right="990" w:bottom="1260" w:left="72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C79" w:rsidRDefault="00A91C79">
      <w:r>
        <w:separator/>
      </w:r>
    </w:p>
  </w:endnote>
  <w:endnote w:type="continuationSeparator" w:id="1">
    <w:p w:rsidR="00A91C79" w:rsidRDefault="00A91C79">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dale Mono">
    <w:altName w:val="Arial Narrow"/>
    <w:charset w:val="00"/>
    <w:family w:val="modern"/>
    <w:pitch w:val="fixed"/>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F86" w:rsidRDefault="004D2C6E">
    <w:pPr>
      <w:pStyle w:val="Footer"/>
      <w:framePr w:wrap="around" w:vAnchor="text" w:hAnchor="margin" w:xAlign="right" w:y="1"/>
      <w:rPr>
        <w:rStyle w:val="PageNumber"/>
      </w:rPr>
    </w:pPr>
    <w:r>
      <w:rPr>
        <w:rStyle w:val="PageNumber"/>
      </w:rPr>
      <w:fldChar w:fldCharType="begin"/>
    </w:r>
    <w:r w:rsidR="004A1F86">
      <w:rPr>
        <w:rStyle w:val="PageNumber"/>
      </w:rPr>
      <w:instrText xml:space="preserve">PAGE  </w:instrText>
    </w:r>
    <w:r>
      <w:rPr>
        <w:rStyle w:val="PageNumber"/>
      </w:rPr>
      <w:fldChar w:fldCharType="end"/>
    </w:r>
  </w:p>
  <w:p w:rsidR="004A1F86" w:rsidRDefault="004A1F8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F86" w:rsidRDefault="004D2C6E">
    <w:pPr>
      <w:pStyle w:val="Footer"/>
      <w:framePr w:wrap="around" w:vAnchor="text" w:hAnchor="margin" w:xAlign="right" w:y="1"/>
      <w:rPr>
        <w:rStyle w:val="PageNumber"/>
      </w:rPr>
    </w:pPr>
    <w:r>
      <w:rPr>
        <w:rStyle w:val="PageNumber"/>
      </w:rPr>
      <w:fldChar w:fldCharType="begin"/>
    </w:r>
    <w:r w:rsidR="004A1F86">
      <w:rPr>
        <w:rStyle w:val="PageNumber"/>
      </w:rPr>
      <w:instrText xml:space="preserve">PAGE  </w:instrText>
    </w:r>
    <w:r>
      <w:rPr>
        <w:rStyle w:val="PageNumber"/>
      </w:rPr>
      <w:fldChar w:fldCharType="separate"/>
    </w:r>
    <w:r w:rsidR="00F942FA">
      <w:rPr>
        <w:rStyle w:val="PageNumber"/>
        <w:noProof/>
      </w:rPr>
      <w:t>4</w:t>
    </w:r>
    <w:r>
      <w:rPr>
        <w:rStyle w:val="PageNumber"/>
      </w:rPr>
      <w:fldChar w:fldCharType="end"/>
    </w:r>
  </w:p>
  <w:p w:rsidR="004A1F86" w:rsidRDefault="004A1F86">
    <w:pPr>
      <w:pStyle w:val="Footer"/>
      <w:ind w:right="360"/>
      <w:jc w:val="right"/>
    </w:pPr>
    <w:r>
      <w:tab/>
      <w:t>-  -</w:t>
    </w:r>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C79" w:rsidRDefault="00A91C79">
      <w:r>
        <w:separator/>
      </w:r>
    </w:p>
  </w:footnote>
  <w:footnote w:type="continuationSeparator" w:id="1">
    <w:p w:rsidR="00A91C79" w:rsidRDefault="00A91C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lvl>
    <w:lvl w:ilvl="1">
      <w:start w:val="1"/>
      <w:numFmt w:val="decimal"/>
      <w:pStyle w:val="Level2"/>
      <w:lvlText w:val="%2."/>
      <w:lvlJc w:val="left"/>
      <w:pPr>
        <w:tabs>
          <w:tab w:val="num" w:pos="1440"/>
        </w:tabs>
        <w:ind w:left="1440" w:hanging="720"/>
      </w:pPr>
      <w:rPr>
        <w:rFonts w:ascii="Univers" w:hAnsi="Univers" w:cs="Times New Roman"/>
        <w:sz w:val="22"/>
        <w:szCs w:val="22"/>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32BD3631"/>
    <w:multiLevelType w:val="hybridMultilevel"/>
    <w:tmpl w:val="CD8AC6DC"/>
    <w:lvl w:ilvl="0" w:tplc="04090015">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A533E66"/>
    <w:multiLevelType w:val="hybridMultilevel"/>
    <w:tmpl w:val="3844E546"/>
    <w:lvl w:ilvl="0" w:tplc="6F0EC460">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306B9A"/>
    <w:multiLevelType w:val="hybridMultilevel"/>
    <w:tmpl w:val="65AA9388"/>
    <w:lvl w:ilvl="0" w:tplc="79647B44">
      <w:start w:val="1"/>
      <w:numFmt w:val="upperLetter"/>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3F7B1F44"/>
    <w:multiLevelType w:val="hybridMultilevel"/>
    <w:tmpl w:val="3B406048"/>
    <w:lvl w:ilvl="0" w:tplc="FFFFFFFF">
      <w:start w:val="1"/>
      <w:numFmt w:val="lowerLetter"/>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8B2342"/>
    <w:multiLevelType w:val="hybridMultilevel"/>
    <w:tmpl w:val="0E2C2EE8"/>
    <w:lvl w:ilvl="0" w:tplc="C3F4F4D2">
      <w:start w:val="1"/>
      <w:numFmt w:val="upperLetter"/>
      <w:lvlText w:val="%1."/>
      <w:lvlJc w:val="left"/>
      <w:pPr>
        <w:tabs>
          <w:tab w:val="num" w:pos="720"/>
        </w:tabs>
        <w:ind w:left="720" w:hanging="360"/>
      </w:pPr>
      <w:rPr>
        <w:rFonts w:ascii="Times New Roman" w:eastAsia="Times New Roman" w:hAnsi="Times New Roman" w:cs="Times New Roman"/>
      </w:rPr>
    </w:lvl>
    <w:lvl w:ilvl="1" w:tplc="FD7AFACC">
      <w:start w:val="3"/>
      <w:numFmt w:val="upperLetter"/>
      <w:lvlText w:val="%2."/>
      <w:lvlJc w:val="left"/>
      <w:pPr>
        <w:tabs>
          <w:tab w:val="num" w:pos="1440"/>
        </w:tabs>
        <w:ind w:left="1440" w:hanging="360"/>
      </w:pPr>
      <w:rPr>
        <w:rFonts w:hint="default"/>
      </w:rPr>
    </w:lvl>
    <w:lvl w:ilvl="2" w:tplc="0686C11C">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F245E9"/>
    <w:multiLevelType w:val="hybridMultilevel"/>
    <w:tmpl w:val="6B96E868"/>
    <w:lvl w:ilvl="0" w:tplc="A724B818">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7">
    <w:nsid w:val="503B322B"/>
    <w:multiLevelType w:val="multilevel"/>
    <w:tmpl w:val="A664EC30"/>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26E13F9"/>
    <w:multiLevelType w:val="hybridMultilevel"/>
    <w:tmpl w:val="B7F47982"/>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9">
    <w:nsid w:val="5D913D1A"/>
    <w:multiLevelType w:val="hybridMultilevel"/>
    <w:tmpl w:val="8A92A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20B0DF1"/>
    <w:multiLevelType w:val="hybridMultilevel"/>
    <w:tmpl w:val="FFB460B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6C3E55D7"/>
    <w:multiLevelType w:val="multilevel"/>
    <w:tmpl w:val="9790106E"/>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260"/>
        </w:tabs>
        <w:ind w:left="900" w:firstLine="0"/>
      </w:pPr>
      <w:rPr>
        <w:b/>
      </w:r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2">
    <w:nsid w:val="6F5842FA"/>
    <w:multiLevelType w:val="hybridMultilevel"/>
    <w:tmpl w:val="719AA9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74142C5"/>
    <w:multiLevelType w:val="hybridMultilevel"/>
    <w:tmpl w:val="8260272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rPr>
        <w:rFonts w:hint="default"/>
        <w:b w:val="0"/>
      </w:rPr>
    </w:lvl>
    <w:lvl w:ilvl="2" w:tplc="FFFFFFFF">
      <w:start w:val="1"/>
      <w:numFmt w:val="decimal"/>
      <w:lvlText w:val="%3."/>
      <w:lvlJc w:val="left"/>
      <w:pPr>
        <w:tabs>
          <w:tab w:val="num" w:pos="3420"/>
        </w:tabs>
        <w:ind w:left="3420" w:hanging="360"/>
      </w:pPr>
      <w:rPr>
        <w:rFonts w:hint="default"/>
      </w:rPr>
    </w:lvl>
    <w:lvl w:ilvl="3" w:tplc="FFFFFFFF">
      <w:start w:val="4"/>
      <w:numFmt w:val="upperLetter"/>
      <w:lvlText w:val="%4."/>
      <w:lvlJc w:val="left"/>
      <w:pPr>
        <w:tabs>
          <w:tab w:val="num" w:pos="3960"/>
        </w:tabs>
        <w:ind w:left="3960" w:hanging="360"/>
      </w:pPr>
      <w:rPr>
        <w:rFonts w:hint="default"/>
      </w:r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4">
    <w:nsid w:val="7784549E"/>
    <w:multiLevelType w:val="hybridMultilevel"/>
    <w:tmpl w:val="FD461674"/>
    <w:lvl w:ilvl="0" w:tplc="A768CDAC">
      <w:start w:val="1"/>
      <w:numFmt w:val="decimal"/>
      <w:lvlText w:val="(%1)"/>
      <w:lvlJc w:val="left"/>
      <w:pPr>
        <w:tabs>
          <w:tab w:val="num" w:pos="2376"/>
        </w:tabs>
        <w:ind w:left="2376"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8C57D2F"/>
    <w:multiLevelType w:val="hybridMultilevel"/>
    <w:tmpl w:val="339EAF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E33C145A">
      <w:start w:val="1"/>
      <w:numFmt w:val="decimal"/>
      <w:lvlText w:val="%4."/>
      <w:lvlJc w:val="left"/>
      <w:pPr>
        <w:tabs>
          <w:tab w:val="num" w:pos="2880"/>
        </w:tabs>
        <w:ind w:left="2880" w:hanging="360"/>
      </w:pPr>
      <w:rPr>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 w:ilvl="0">
        <w:start w:val="1"/>
        <w:numFmt w:val="decimal"/>
        <w:lvlText w:val="%1"/>
        <w:lvlJc w:val="left"/>
      </w:lvl>
    </w:lvlOverride>
    <w:lvlOverride w:ilvl="1">
      <w:startOverride w:val="7"/>
      <w:lvl w:ilvl="1">
        <w:start w:val="7"/>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3"/>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5"/>
  </w:num>
  <w:num w:numId="7">
    <w:abstractNumId w:val="2"/>
  </w:num>
  <w:num w:numId="8">
    <w:abstractNumId w:val="1"/>
  </w:num>
  <w:num w:numId="9">
    <w:abstractNumId w:val="3"/>
  </w:num>
  <w:num w:numId="10">
    <w:abstractNumId w:val="12"/>
  </w:num>
  <w:num w:numId="11">
    <w:abstractNumId w:val="9"/>
  </w:num>
  <w:num w:numId="12">
    <w:abstractNumId w:val="10"/>
  </w:num>
  <w:num w:numId="13">
    <w:abstractNumId w:val="15"/>
  </w:num>
  <w:num w:numId="14">
    <w:abstractNumId w:val="7"/>
  </w:num>
  <w:num w:numId="15">
    <w:abstractNumId w:val="6"/>
  </w:num>
  <w:num w:numId="16">
    <w:abstractNumId w:val="8"/>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rsids>
    <w:rsidRoot w:val="00C676A0"/>
    <w:rsid w:val="000003A2"/>
    <w:rsid w:val="000172B8"/>
    <w:rsid w:val="000177B5"/>
    <w:rsid w:val="00017A09"/>
    <w:rsid w:val="00041302"/>
    <w:rsid w:val="0005023A"/>
    <w:rsid w:val="00051155"/>
    <w:rsid w:val="000520B6"/>
    <w:rsid w:val="000528FE"/>
    <w:rsid w:val="00057693"/>
    <w:rsid w:val="00060924"/>
    <w:rsid w:val="000613C4"/>
    <w:rsid w:val="000844E3"/>
    <w:rsid w:val="00090BCA"/>
    <w:rsid w:val="000925BE"/>
    <w:rsid w:val="000A3026"/>
    <w:rsid w:val="000A5080"/>
    <w:rsid w:val="000B57B2"/>
    <w:rsid w:val="000D7753"/>
    <w:rsid w:val="000F2102"/>
    <w:rsid w:val="00101EC9"/>
    <w:rsid w:val="00105B2C"/>
    <w:rsid w:val="00107F97"/>
    <w:rsid w:val="00114850"/>
    <w:rsid w:val="00114DC8"/>
    <w:rsid w:val="00123FA0"/>
    <w:rsid w:val="0012615D"/>
    <w:rsid w:val="00132430"/>
    <w:rsid w:val="00142842"/>
    <w:rsid w:val="00144362"/>
    <w:rsid w:val="00154A8B"/>
    <w:rsid w:val="0016093E"/>
    <w:rsid w:val="00162A2F"/>
    <w:rsid w:val="001634BD"/>
    <w:rsid w:val="00166964"/>
    <w:rsid w:val="00166AB8"/>
    <w:rsid w:val="00167559"/>
    <w:rsid w:val="00174138"/>
    <w:rsid w:val="001A51CE"/>
    <w:rsid w:val="001B25DC"/>
    <w:rsid w:val="001B3C73"/>
    <w:rsid w:val="001B4305"/>
    <w:rsid w:val="001B5A37"/>
    <w:rsid w:val="001B650D"/>
    <w:rsid w:val="001C31C6"/>
    <w:rsid w:val="001C5A96"/>
    <w:rsid w:val="001C60A2"/>
    <w:rsid w:val="001D2C22"/>
    <w:rsid w:val="001D4966"/>
    <w:rsid w:val="001E5197"/>
    <w:rsid w:val="002113E7"/>
    <w:rsid w:val="00216FD2"/>
    <w:rsid w:val="0022417C"/>
    <w:rsid w:val="002328BE"/>
    <w:rsid w:val="00237AE4"/>
    <w:rsid w:val="002540B9"/>
    <w:rsid w:val="00257322"/>
    <w:rsid w:val="002601C1"/>
    <w:rsid w:val="00284F75"/>
    <w:rsid w:val="002950A3"/>
    <w:rsid w:val="002B0F83"/>
    <w:rsid w:val="002B47EE"/>
    <w:rsid w:val="002B7ADB"/>
    <w:rsid w:val="002C08AC"/>
    <w:rsid w:val="002E4551"/>
    <w:rsid w:val="002F1BB0"/>
    <w:rsid w:val="002F2CC8"/>
    <w:rsid w:val="002F6B6B"/>
    <w:rsid w:val="00331E5A"/>
    <w:rsid w:val="00333876"/>
    <w:rsid w:val="00334423"/>
    <w:rsid w:val="00345615"/>
    <w:rsid w:val="00353D81"/>
    <w:rsid w:val="00371F5C"/>
    <w:rsid w:val="00380250"/>
    <w:rsid w:val="0038112A"/>
    <w:rsid w:val="003A11C8"/>
    <w:rsid w:val="003A5975"/>
    <w:rsid w:val="003B0DB4"/>
    <w:rsid w:val="003B181C"/>
    <w:rsid w:val="003B5ABB"/>
    <w:rsid w:val="003B7DF8"/>
    <w:rsid w:val="003C2E90"/>
    <w:rsid w:val="003C3A1C"/>
    <w:rsid w:val="003C55F7"/>
    <w:rsid w:val="003D2AF8"/>
    <w:rsid w:val="003D37C1"/>
    <w:rsid w:val="003D6CFA"/>
    <w:rsid w:val="003E0987"/>
    <w:rsid w:val="003E354E"/>
    <w:rsid w:val="003E44A3"/>
    <w:rsid w:val="003F2DF8"/>
    <w:rsid w:val="003F5E96"/>
    <w:rsid w:val="00401C29"/>
    <w:rsid w:val="004021F6"/>
    <w:rsid w:val="004029A5"/>
    <w:rsid w:val="00416B3E"/>
    <w:rsid w:val="00417493"/>
    <w:rsid w:val="004203DF"/>
    <w:rsid w:val="00443197"/>
    <w:rsid w:val="00454D48"/>
    <w:rsid w:val="00456A99"/>
    <w:rsid w:val="00457BAB"/>
    <w:rsid w:val="00463451"/>
    <w:rsid w:val="00465F7E"/>
    <w:rsid w:val="004702AE"/>
    <w:rsid w:val="00487DA1"/>
    <w:rsid w:val="00490116"/>
    <w:rsid w:val="00490778"/>
    <w:rsid w:val="004A02B6"/>
    <w:rsid w:val="004A1F86"/>
    <w:rsid w:val="004A6C2B"/>
    <w:rsid w:val="004C3D8D"/>
    <w:rsid w:val="004D2C6E"/>
    <w:rsid w:val="004F796C"/>
    <w:rsid w:val="00501AD5"/>
    <w:rsid w:val="00507F80"/>
    <w:rsid w:val="005104EE"/>
    <w:rsid w:val="005111E2"/>
    <w:rsid w:val="00512E9F"/>
    <w:rsid w:val="0052551F"/>
    <w:rsid w:val="00533ACD"/>
    <w:rsid w:val="005445A8"/>
    <w:rsid w:val="005474D8"/>
    <w:rsid w:val="0055066C"/>
    <w:rsid w:val="00550B47"/>
    <w:rsid w:val="0055395B"/>
    <w:rsid w:val="00556D4C"/>
    <w:rsid w:val="005658FF"/>
    <w:rsid w:val="00566647"/>
    <w:rsid w:val="0057158D"/>
    <w:rsid w:val="00575F97"/>
    <w:rsid w:val="0057671C"/>
    <w:rsid w:val="00581C62"/>
    <w:rsid w:val="0059070C"/>
    <w:rsid w:val="00591987"/>
    <w:rsid w:val="00594EBE"/>
    <w:rsid w:val="0059544A"/>
    <w:rsid w:val="00595E26"/>
    <w:rsid w:val="005A3AC4"/>
    <w:rsid w:val="005B3D9D"/>
    <w:rsid w:val="005C18D3"/>
    <w:rsid w:val="005C52AF"/>
    <w:rsid w:val="005D0188"/>
    <w:rsid w:val="005D6D0B"/>
    <w:rsid w:val="005D7424"/>
    <w:rsid w:val="005E17FC"/>
    <w:rsid w:val="005E3D74"/>
    <w:rsid w:val="005F2061"/>
    <w:rsid w:val="005F6363"/>
    <w:rsid w:val="005F63F8"/>
    <w:rsid w:val="00602CB2"/>
    <w:rsid w:val="00614651"/>
    <w:rsid w:val="0062071A"/>
    <w:rsid w:val="00624A5D"/>
    <w:rsid w:val="0063759A"/>
    <w:rsid w:val="00640988"/>
    <w:rsid w:val="006476DB"/>
    <w:rsid w:val="00667DA3"/>
    <w:rsid w:val="00674DFD"/>
    <w:rsid w:val="006837BC"/>
    <w:rsid w:val="006A1214"/>
    <w:rsid w:val="006A1FCE"/>
    <w:rsid w:val="006A651C"/>
    <w:rsid w:val="006B779E"/>
    <w:rsid w:val="006C0791"/>
    <w:rsid w:val="006C7415"/>
    <w:rsid w:val="006D6EC5"/>
    <w:rsid w:val="006E362F"/>
    <w:rsid w:val="006F155F"/>
    <w:rsid w:val="006F20A7"/>
    <w:rsid w:val="006F4906"/>
    <w:rsid w:val="006F6299"/>
    <w:rsid w:val="00701135"/>
    <w:rsid w:val="00702FCB"/>
    <w:rsid w:val="00705DE0"/>
    <w:rsid w:val="0070759D"/>
    <w:rsid w:val="00714F66"/>
    <w:rsid w:val="007151EC"/>
    <w:rsid w:val="0071724F"/>
    <w:rsid w:val="00745CF0"/>
    <w:rsid w:val="00747774"/>
    <w:rsid w:val="00751AC2"/>
    <w:rsid w:val="00771AA8"/>
    <w:rsid w:val="00775631"/>
    <w:rsid w:val="007760D3"/>
    <w:rsid w:val="00782781"/>
    <w:rsid w:val="00785438"/>
    <w:rsid w:val="0079098C"/>
    <w:rsid w:val="007A11B8"/>
    <w:rsid w:val="007A60FC"/>
    <w:rsid w:val="007B0830"/>
    <w:rsid w:val="007E227E"/>
    <w:rsid w:val="007E2A24"/>
    <w:rsid w:val="007E4FC9"/>
    <w:rsid w:val="00803E5D"/>
    <w:rsid w:val="0080540D"/>
    <w:rsid w:val="008104E2"/>
    <w:rsid w:val="00823286"/>
    <w:rsid w:val="008238DF"/>
    <w:rsid w:val="00855B4A"/>
    <w:rsid w:val="0087256E"/>
    <w:rsid w:val="008A50FF"/>
    <w:rsid w:val="008A6551"/>
    <w:rsid w:val="008A7437"/>
    <w:rsid w:val="008B42D6"/>
    <w:rsid w:val="008C0CC1"/>
    <w:rsid w:val="008C3887"/>
    <w:rsid w:val="008E4882"/>
    <w:rsid w:val="008E64D8"/>
    <w:rsid w:val="008F5C8C"/>
    <w:rsid w:val="00900982"/>
    <w:rsid w:val="00903358"/>
    <w:rsid w:val="00916B2C"/>
    <w:rsid w:val="009247B4"/>
    <w:rsid w:val="00924D6B"/>
    <w:rsid w:val="009265E9"/>
    <w:rsid w:val="0093177A"/>
    <w:rsid w:val="00934A1B"/>
    <w:rsid w:val="009420FE"/>
    <w:rsid w:val="009432FD"/>
    <w:rsid w:val="00950DFA"/>
    <w:rsid w:val="0095426B"/>
    <w:rsid w:val="00956F18"/>
    <w:rsid w:val="00963752"/>
    <w:rsid w:val="00966B79"/>
    <w:rsid w:val="0098373C"/>
    <w:rsid w:val="0098579D"/>
    <w:rsid w:val="00985B48"/>
    <w:rsid w:val="009872B1"/>
    <w:rsid w:val="00992EEC"/>
    <w:rsid w:val="00994F48"/>
    <w:rsid w:val="009968DF"/>
    <w:rsid w:val="00997178"/>
    <w:rsid w:val="009B2BC7"/>
    <w:rsid w:val="009C6053"/>
    <w:rsid w:val="009C652E"/>
    <w:rsid w:val="009E531D"/>
    <w:rsid w:val="009F2230"/>
    <w:rsid w:val="00A121EA"/>
    <w:rsid w:val="00A276F7"/>
    <w:rsid w:val="00A32C74"/>
    <w:rsid w:val="00A60B2F"/>
    <w:rsid w:val="00A613CA"/>
    <w:rsid w:val="00A6431B"/>
    <w:rsid w:val="00A66E22"/>
    <w:rsid w:val="00A67F29"/>
    <w:rsid w:val="00A718A9"/>
    <w:rsid w:val="00A838BE"/>
    <w:rsid w:val="00A85112"/>
    <w:rsid w:val="00A9089C"/>
    <w:rsid w:val="00A91C79"/>
    <w:rsid w:val="00A91DBB"/>
    <w:rsid w:val="00A9224F"/>
    <w:rsid w:val="00A97377"/>
    <w:rsid w:val="00AA3CFC"/>
    <w:rsid w:val="00AB7A70"/>
    <w:rsid w:val="00AC0AC9"/>
    <w:rsid w:val="00AC2F33"/>
    <w:rsid w:val="00AE0C9F"/>
    <w:rsid w:val="00AE7C9B"/>
    <w:rsid w:val="00AF0E49"/>
    <w:rsid w:val="00B00A4C"/>
    <w:rsid w:val="00B11D68"/>
    <w:rsid w:val="00B20C6E"/>
    <w:rsid w:val="00B2588B"/>
    <w:rsid w:val="00B35E24"/>
    <w:rsid w:val="00B419C7"/>
    <w:rsid w:val="00B423BE"/>
    <w:rsid w:val="00B45D26"/>
    <w:rsid w:val="00B467E9"/>
    <w:rsid w:val="00B53D65"/>
    <w:rsid w:val="00B55693"/>
    <w:rsid w:val="00B83A3F"/>
    <w:rsid w:val="00B94795"/>
    <w:rsid w:val="00B95429"/>
    <w:rsid w:val="00B95F65"/>
    <w:rsid w:val="00B97494"/>
    <w:rsid w:val="00BA5EBC"/>
    <w:rsid w:val="00BC000F"/>
    <w:rsid w:val="00BF2950"/>
    <w:rsid w:val="00BF5AB5"/>
    <w:rsid w:val="00BF60BF"/>
    <w:rsid w:val="00BF73F3"/>
    <w:rsid w:val="00C008BC"/>
    <w:rsid w:val="00C02AC6"/>
    <w:rsid w:val="00C1086B"/>
    <w:rsid w:val="00C139C1"/>
    <w:rsid w:val="00C1527B"/>
    <w:rsid w:val="00C1712C"/>
    <w:rsid w:val="00C211E6"/>
    <w:rsid w:val="00C221EF"/>
    <w:rsid w:val="00C23F0F"/>
    <w:rsid w:val="00C24EB8"/>
    <w:rsid w:val="00C30C12"/>
    <w:rsid w:val="00C4032C"/>
    <w:rsid w:val="00C676A0"/>
    <w:rsid w:val="00C704DC"/>
    <w:rsid w:val="00C771F7"/>
    <w:rsid w:val="00C806F9"/>
    <w:rsid w:val="00C977B9"/>
    <w:rsid w:val="00CA21EE"/>
    <w:rsid w:val="00CA258A"/>
    <w:rsid w:val="00CA2F8E"/>
    <w:rsid w:val="00CA7412"/>
    <w:rsid w:val="00CB559F"/>
    <w:rsid w:val="00CC7D6E"/>
    <w:rsid w:val="00CD74F9"/>
    <w:rsid w:val="00CE14A3"/>
    <w:rsid w:val="00CF1FB1"/>
    <w:rsid w:val="00CF44B2"/>
    <w:rsid w:val="00CF6BC7"/>
    <w:rsid w:val="00D15764"/>
    <w:rsid w:val="00D205D2"/>
    <w:rsid w:val="00D42B73"/>
    <w:rsid w:val="00D432B0"/>
    <w:rsid w:val="00D4485A"/>
    <w:rsid w:val="00D51844"/>
    <w:rsid w:val="00D51D8E"/>
    <w:rsid w:val="00D52E19"/>
    <w:rsid w:val="00D65F82"/>
    <w:rsid w:val="00D66D8C"/>
    <w:rsid w:val="00D71C6E"/>
    <w:rsid w:val="00D80196"/>
    <w:rsid w:val="00D8759F"/>
    <w:rsid w:val="00D928B4"/>
    <w:rsid w:val="00D96336"/>
    <w:rsid w:val="00D97C98"/>
    <w:rsid w:val="00DB2ADB"/>
    <w:rsid w:val="00DB694B"/>
    <w:rsid w:val="00DC2BF7"/>
    <w:rsid w:val="00DF2A4B"/>
    <w:rsid w:val="00DF2C96"/>
    <w:rsid w:val="00E11697"/>
    <w:rsid w:val="00E13B75"/>
    <w:rsid w:val="00E17FEB"/>
    <w:rsid w:val="00E33D71"/>
    <w:rsid w:val="00E34C0E"/>
    <w:rsid w:val="00E41011"/>
    <w:rsid w:val="00E41426"/>
    <w:rsid w:val="00E4467D"/>
    <w:rsid w:val="00E45944"/>
    <w:rsid w:val="00E45B01"/>
    <w:rsid w:val="00E465DE"/>
    <w:rsid w:val="00E53209"/>
    <w:rsid w:val="00E61322"/>
    <w:rsid w:val="00E70C01"/>
    <w:rsid w:val="00E9082B"/>
    <w:rsid w:val="00E90DFA"/>
    <w:rsid w:val="00EA14C1"/>
    <w:rsid w:val="00EA2DCF"/>
    <w:rsid w:val="00EA711C"/>
    <w:rsid w:val="00EB2BEF"/>
    <w:rsid w:val="00ED38DC"/>
    <w:rsid w:val="00ED62C7"/>
    <w:rsid w:val="00EE0236"/>
    <w:rsid w:val="00EE0448"/>
    <w:rsid w:val="00F069DD"/>
    <w:rsid w:val="00F07868"/>
    <w:rsid w:val="00F133F5"/>
    <w:rsid w:val="00F274F0"/>
    <w:rsid w:val="00F30831"/>
    <w:rsid w:val="00F36986"/>
    <w:rsid w:val="00F479CB"/>
    <w:rsid w:val="00F5007C"/>
    <w:rsid w:val="00F54BC5"/>
    <w:rsid w:val="00F6033B"/>
    <w:rsid w:val="00F60462"/>
    <w:rsid w:val="00F718B4"/>
    <w:rsid w:val="00F83198"/>
    <w:rsid w:val="00F90CD0"/>
    <w:rsid w:val="00F942FA"/>
    <w:rsid w:val="00FA0FBB"/>
    <w:rsid w:val="00FC5A0F"/>
    <w:rsid w:val="00FD3D4A"/>
    <w:rsid w:val="00FE03B7"/>
    <w:rsid w:val="00FE043F"/>
    <w:rsid w:val="00FE09E6"/>
    <w:rsid w:val="00FE1057"/>
    <w:rsid w:val="00FE20ED"/>
    <w:rsid w:val="00FE641E"/>
    <w:rsid w:val="00FF28AE"/>
    <w:rsid w:val="00FF5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34BD"/>
    <w:pPr>
      <w:widowControl w:val="0"/>
      <w:autoSpaceDE w:val="0"/>
      <w:autoSpaceDN w:val="0"/>
      <w:adjustRightInd w:val="0"/>
    </w:pPr>
    <w:rPr>
      <w:szCs w:val="24"/>
    </w:rPr>
  </w:style>
  <w:style w:type="paragraph" w:styleId="Heading1">
    <w:name w:val="heading 1"/>
    <w:basedOn w:val="Normal"/>
    <w:next w:val="Normal"/>
    <w:qFormat/>
    <w:rsid w:val="004D2C6E"/>
    <w:pPr>
      <w:keepNext/>
      <w:numPr>
        <w:numId w:val="5"/>
      </w:numPr>
      <w:tabs>
        <w:tab w:val="left" w:pos="-1440"/>
      </w:tabs>
      <w:outlineLvl w:val="0"/>
    </w:pPr>
    <w:rPr>
      <w:rFonts w:ascii="Univers" w:hAnsi="Univers"/>
      <w:sz w:val="24"/>
    </w:rPr>
  </w:style>
  <w:style w:type="paragraph" w:styleId="Heading2">
    <w:name w:val="heading 2"/>
    <w:basedOn w:val="Normal"/>
    <w:next w:val="Normal"/>
    <w:qFormat/>
    <w:rsid w:val="004D2C6E"/>
    <w:pPr>
      <w:keepNext/>
      <w:numPr>
        <w:ilvl w:val="1"/>
        <w:numId w:val="5"/>
      </w:numPr>
      <w:tabs>
        <w:tab w:val="center" w:pos="4221"/>
        <w:tab w:val="left" w:pos="4842"/>
        <w:tab w:val="left" w:pos="5562"/>
        <w:tab w:val="left" w:pos="6282"/>
        <w:tab w:val="left" w:pos="7002"/>
        <w:tab w:val="left" w:pos="7722"/>
        <w:tab w:val="left" w:pos="8442"/>
      </w:tabs>
      <w:jc w:val="center"/>
      <w:outlineLvl w:val="1"/>
    </w:pPr>
    <w:rPr>
      <w:rFonts w:ascii="CG Times" w:hAnsi="CG Times"/>
      <w:b/>
      <w:bCs/>
      <w:sz w:val="28"/>
      <w:szCs w:val="28"/>
    </w:rPr>
  </w:style>
  <w:style w:type="paragraph" w:styleId="Heading3">
    <w:name w:val="heading 3"/>
    <w:basedOn w:val="Normal"/>
    <w:next w:val="Normal"/>
    <w:qFormat/>
    <w:rsid w:val="004D2C6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4D2C6E"/>
    <w:pPr>
      <w:keepNext/>
      <w:numPr>
        <w:ilvl w:val="3"/>
        <w:numId w:val="5"/>
      </w:numPr>
      <w:spacing w:before="240" w:after="60"/>
      <w:outlineLvl w:val="3"/>
    </w:pPr>
    <w:rPr>
      <w:b/>
      <w:bCs/>
      <w:sz w:val="28"/>
      <w:szCs w:val="28"/>
    </w:rPr>
  </w:style>
  <w:style w:type="paragraph" w:styleId="Heading5">
    <w:name w:val="heading 5"/>
    <w:basedOn w:val="Normal"/>
    <w:next w:val="Normal"/>
    <w:qFormat/>
    <w:rsid w:val="004D2C6E"/>
    <w:pPr>
      <w:keepNext/>
      <w:numPr>
        <w:ilvl w:val="4"/>
        <w:numId w:val="5"/>
      </w:numPr>
      <w:tabs>
        <w:tab w:val="left" w:pos="-1440"/>
      </w:tabs>
      <w:outlineLvl w:val="4"/>
    </w:pPr>
    <w:rPr>
      <w:sz w:val="24"/>
    </w:rPr>
  </w:style>
  <w:style w:type="paragraph" w:styleId="Heading6">
    <w:name w:val="heading 6"/>
    <w:basedOn w:val="Normal"/>
    <w:next w:val="Normal"/>
    <w:qFormat/>
    <w:rsid w:val="004D2C6E"/>
    <w:pPr>
      <w:keepNext/>
      <w:numPr>
        <w:ilvl w:val="5"/>
        <w:numId w:val="5"/>
      </w:numPr>
      <w:tabs>
        <w:tab w:val="left" w:pos="-1440"/>
      </w:tabs>
      <w:outlineLvl w:val="5"/>
    </w:pPr>
    <w:rPr>
      <w:sz w:val="24"/>
    </w:rPr>
  </w:style>
  <w:style w:type="paragraph" w:styleId="Heading7">
    <w:name w:val="heading 7"/>
    <w:basedOn w:val="Normal"/>
    <w:next w:val="Normal"/>
    <w:qFormat/>
    <w:rsid w:val="004D2C6E"/>
    <w:pPr>
      <w:keepNext/>
      <w:numPr>
        <w:ilvl w:val="6"/>
        <w:numId w:val="5"/>
      </w:numPr>
      <w:tabs>
        <w:tab w:val="left" w:pos="-1440"/>
      </w:tabs>
      <w:outlineLvl w:val="6"/>
    </w:pPr>
    <w:rPr>
      <w:sz w:val="24"/>
      <w:szCs w:val="22"/>
    </w:rPr>
  </w:style>
  <w:style w:type="paragraph" w:styleId="Heading8">
    <w:name w:val="heading 8"/>
    <w:basedOn w:val="Normal"/>
    <w:next w:val="Normal"/>
    <w:qFormat/>
    <w:rsid w:val="004D2C6E"/>
    <w:pPr>
      <w:keepNext/>
      <w:numPr>
        <w:ilvl w:val="7"/>
        <w:numId w:val="5"/>
      </w:numPr>
      <w:outlineLvl w:val="7"/>
    </w:pPr>
    <w:rPr>
      <w:sz w:val="24"/>
    </w:rPr>
  </w:style>
  <w:style w:type="paragraph" w:styleId="Heading9">
    <w:name w:val="heading 9"/>
    <w:basedOn w:val="Normal"/>
    <w:next w:val="Normal"/>
    <w:qFormat/>
    <w:rsid w:val="004D2C6E"/>
    <w:pPr>
      <w:keepNext/>
      <w:numPr>
        <w:ilvl w:val="8"/>
        <w:numId w:val="5"/>
      </w:numPr>
      <w:tabs>
        <w:tab w:val="left" w:pos="-720"/>
      </w:tabs>
      <w:spacing w:line="312" w:lineRule="auto"/>
      <w:outlineLvl w:val="8"/>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D2C6E"/>
  </w:style>
  <w:style w:type="paragraph" w:customStyle="1" w:styleId="Level2">
    <w:name w:val="Level 2"/>
    <w:basedOn w:val="Normal"/>
    <w:rsid w:val="004D2C6E"/>
    <w:pPr>
      <w:numPr>
        <w:ilvl w:val="1"/>
        <w:numId w:val="1"/>
      </w:numPr>
      <w:ind w:left="1440" w:hanging="720"/>
      <w:outlineLvl w:val="1"/>
    </w:pPr>
  </w:style>
  <w:style w:type="paragraph" w:styleId="BodyTextIndent">
    <w:name w:val="Body Text Indent"/>
    <w:basedOn w:val="Normal"/>
    <w:rsid w:val="004D2C6E"/>
    <w:pPr>
      <w:tabs>
        <w:tab w:val="left" w:pos="-1440"/>
      </w:tabs>
      <w:ind w:left="1440"/>
    </w:pPr>
    <w:rPr>
      <w:sz w:val="24"/>
      <w:szCs w:val="22"/>
    </w:rPr>
  </w:style>
  <w:style w:type="paragraph" w:styleId="TOC2">
    <w:name w:val="toc 2"/>
    <w:basedOn w:val="Normal"/>
    <w:next w:val="Normal"/>
    <w:autoRedefine/>
    <w:semiHidden/>
    <w:rsid w:val="004D2C6E"/>
    <w:pPr>
      <w:ind w:left="200"/>
    </w:pPr>
  </w:style>
  <w:style w:type="paragraph" w:styleId="TOC1">
    <w:name w:val="toc 1"/>
    <w:basedOn w:val="Normal"/>
    <w:next w:val="Heading1"/>
    <w:autoRedefine/>
    <w:semiHidden/>
    <w:rsid w:val="00051155"/>
    <w:rPr>
      <w:b/>
      <w:sz w:val="24"/>
      <w:lang w:val="fr-FR"/>
    </w:rPr>
  </w:style>
  <w:style w:type="paragraph" w:styleId="TOC3">
    <w:name w:val="toc 3"/>
    <w:basedOn w:val="Normal"/>
    <w:next w:val="Normal"/>
    <w:autoRedefine/>
    <w:semiHidden/>
    <w:rsid w:val="004D2C6E"/>
    <w:pPr>
      <w:ind w:left="400"/>
    </w:pPr>
  </w:style>
  <w:style w:type="paragraph" w:styleId="TOC4">
    <w:name w:val="toc 4"/>
    <w:basedOn w:val="Normal"/>
    <w:next w:val="Normal"/>
    <w:autoRedefine/>
    <w:semiHidden/>
    <w:rsid w:val="004D2C6E"/>
    <w:pPr>
      <w:ind w:left="600"/>
    </w:pPr>
  </w:style>
  <w:style w:type="paragraph" w:styleId="TOC5">
    <w:name w:val="toc 5"/>
    <w:basedOn w:val="Normal"/>
    <w:next w:val="Normal"/>
    <w:autoRedefine/>
    <w:semiHidden/>
    <w:rsid w:val="004D2C6E"/>
    <w:pPr>
      <w:ind w:left="800"/>
    </w:pPr>
  </w:style>
  <w:style w:type="paragraph" w:styleId="TOC6">
    <w:name w:val="toc 6"/>
    <w:basedOn w:val="Normal"/>
    <w:next w:val="Normal"/>
    <w:autoRedefine/>
    <w:semiHidden/>
    <w:rsid w:val="004D2C6E"/>
    <w:pPr>
      <w:ind w:left="1000"/>
    </w:pPr>
  </w:style>
  <w:style w:type="paragraph" w:styleId="TOC7">
    <w:name w:val="toc 7"/>
    <w:basedOn w:val="Normal"/>
    <w:next w:val="Normal"/>
    <w:autoRedefine/>
    <w:semiHidden/>
    <w:rsid w:val="004D2C6E"/>
    <w:pPr>
      <w:ind w:left="1200"/>
    </w:pPr>
  </w:style>
  <w:style w:type="paragraph" w:styleId="TOC8">
    <w:name w:val="toc 8"/>
    <w:basedOn w:val="Normal"/>
    <w:next w:val="Normal"/>
    <w:autoRedefine/>
    <w:semiHidden/>
    <w:rsid w:val="004D2C6E"/>
    <w:pPr>
      <w:ind w:left="1400"/>
    </w:pPr>
  </w:style>
  <w:style w:type="paragraph" w:styleId="TOC9">
    <w:name w:val="toc 9"/>
    <w:basedOn w:val="Normal"/>
    <w:next w:val="Normal"/>
    <w:autoRedefine/>
    <w:semiHidden/>
    <w:rsid w:val="004D2C6E"/>
    <w:pPr>
      <w:ind w:left="1600"/>
    </w:pPr>
  </w:style>
  <w:style w:type="character" w:styleId="Hyperlink">
    <w:name w:val="Hyperlink"/>
    <w:basedOn w:val="DefaultParagraphFont"/>
    <w:rsid w:val="004D2C6E"/>
    <w:rPr>
      <w:color w:val="0000FF"/>
      <w:u w:val="single"/>
    </w:rPr>
  </w:style>
  <w:style w:type="paragraph" w:styleId="Header">
    <w:name w:val="header"/>
    <w:basedOn w:val="Normal"/>
    <w:rsid w:val="004D2C6E"/>
    <w:pPr>
      <w:tabs>
        <w:tab w:val="center" w:pos="4320"/>
        <w:tab w:val="right" w:pos="8640"/>
      </w:tabs>
    </w:pPr>
  </w:style>
  <w:style w:type="paragraph" w:styleId="Footer">
    <w:name w:val="footer"/>
    <w:basedOn w:val="Normal"/>
    <w:rsid w:val="004D2C6E"/>
    <w:pPr>
      <w:tabs>
        <w:tab w:val="center" w:pos="4320"/>
        <w:tab w:val="right" w:pos="8640"/>
      </w:tabs>
    </w:pPr>
  </w:style>
  <w:style w:type="paragraph" w:styleId="BodyTextIndent2">
    <w:name w:val="Body Text Indent 2"/>
    <w:basedOn w:val="Normal"/>
    <w:rsid w:val="004D2C6E"/>
    <w:pPr>
      <w:ind w:left="720"/>
    </w:pPr>
    <w:rPr>
      <w:sz w:val="24"/>
    </w:rPr>
  </w:style>
  <w:style w:type="paragraph" w:styleId="BodyTextIndent3">
    <w:name w:val="Body Text Indent 3"/>
    <w:basedOn w:val="Normal"/>
    <w:rsid w:val="004D2C6E"/>
    <w:pPr>
      <w:tabs>
        <w:tab w:val="left" w:pos="-1440"/>
      </w:tabs>
      <w:ind w:left="1080" w:hanging="360"/>
    </w:pPr>
    <w:rPr>
      <w:sz w:val="24"/>
      <w:szCs w:val="22"/>
    </w:rPr>
  </w:style>
  <w:style w:type="character" w:styleId="PageNumber">
    <w:name w:val="page number"/>
    <w:basedOn w:val="DefaultParagraphFont"/>
    <w:rsid w:val="004D2C6E"/>
  </w:style>
  <w:style w:type="character" w:styleId="FollowedHyperlink">
    <w:name w:val="FollowedHyperlink"/>
    <w:basedOn w:val="DefaultParagraphFont"/>
    <w:rsid w:val="004D2C6E"/>
    <w:rPr>
      <w:color w:val="800080"/>
      <w:u w:val="single"/>
    </w:rPr>
  </w:style>
  <w:style w:type="paragraph" w:styleId="BodyText2">
    <w:name w:val="Body Text 2"/>
    <w:basedOn w:val="Normal"/>
    <w:rsid w:val="004D2C6E"/>
    <w:pPr>
      <w:tabs>
        <w:tab w:val="left" w:pos="-1368"/>
        <w:tab w:val="left" w:pos="1368"/>
        <w:tab w:val="left" w:pos="2088"/>
        <w:tab w:val="left" w:pos="2808"/>
        <w:tab w:val="left" w:pos="3528"/>
        <w:tab w:val="left" w:pos="4248"/>
        <w:tab w:val="left" w:pos="4968"/>
        <w:tab w:val="left" w:pos="5688"/>
      </w:tabs>
      <w:autoSpaceDE/>
      <w:autoSpaceDN/>
      <w:adjustRightInd/>
      <w:jc w:val="both"/>
    </w:pPr>
    <w:rPr>
      <w:snapToGrid w:val="0"/>
      <w:sz w:val="24"/>
    </w:rPr>
  </w:style>
  <w:style w:type="paragraph" w:styleId="BodyText">
    <w:name w:val="Body Text"/>
    <w:basedOn w:val="Normal"/>
    <w:rsid w:val="004D2C6E"/>
    <w:rPr>
      <w:b/>
      <w:bCs/>
      <w:sz w:val="24"/>
    </w:rPr>
  </w:style>
  <w:style w:type="paragraph" w:styleId="Title">
    <w:name w:val="Title"/>
    <w:basedOn w:val="Normal"/>
    <w:qFormat/>
    <w:rsid w:val="004D2C6E"/>
    <w:pPr>
      <w:widowControl/>
      <w:autoSpaceDE/>
      <w:autoSpaceDN/>
      <w:adjustRightInd/>
      <w:jc w:val="center"/>
    </w:pPr>
    <w:rPr>
      <w:rFonts w:ascii="Univers" w:hAnsi="Univers"/>
      <w:b/>
      <w:bCs/>
      <w:sz w:val="28"/>
      <w:szCs w:val="28"/>
    </w:rPr>
  </w:style>
  <w:style w:type="paragraph" w:styleId="Subtitle">
    <w:name w:val="Subtitle"/>
    <w:basedOn w:val="Normal"/>
    <w:qFormat/>
    <w:rsid w:val="004D2C6E"/>
    <w:pPr>
      <w:widowControl/>
      <w:autoSpaceDE/>
      <w:autoSpaceDN/>
      <w:adjustRightInd/>
      <w:jc w:val="center"/>
    </w:pPr>
    <w:rPr>
      <w:rFonts w:ascii="Univers" w:hAnsi="Univers"/>
      <w:b/>
      <w:bCs/>
      <w:sz w:val="28"/>
      <w:szCs w:val="28"/>
      <w:u w:val="single"/>
    </w:rPr>
  </w:style>
  <w:style w:type="table" w:styleId="TableGrid">
    <w:name w:val="Table Grid"/>
    <w:basedOn w:val="TableNormal"/>
    <w:rsid w:val="00D20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423BE"/>
    <w:rPr>
      <w:rFonts w:ascii="Tahoma" w:hAnsi="Tahoma" w:cs="Tahoma"/>
      <w:sz w:val="16"/>
      <w:szCs w:val="16"/>
    </w:rPr>
  </w:style>
  <w:style w:type="paragraph" w:customStyle="1" w:styleId="level1">
    <w:name w:val="_level1"/>
    <w:basedOn w:val="Normal"/>
    <w:rsid w:val="00380250"/>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autoSpaceDN/>
      <w:adjustRightInd/>
      <w:ind w:left="360" w:hanging="360"/>
    </w:pPr>
    <w:rPr>
      <w:sz w:val="24"/>
      <w:szCs w:val="20"/>
    </w:rPr>
  </w:style>
  <w:style w:type="character" w:customStyle="1" w:styleId="Hypertext">
    <w:name w:val="Hypertext"/>
    <w:rsid w:val="009E531D"/>
    <w:rPr>
      <w:color w:val="0000FF"/>
      <w:u w:val="single"/>
    </w:rPr>
  </w:style>
  <w:style w:type="character" w:styleId="CommentReference">
    <w:name w:val="annotation reference"/>
    <w:basedOn w:val="DefaultParagraphFont"/>
    <w:semiHidden/>
    <w:rsid w:val="009E531D"/>
    <w:rPr>
      <w:sz w:val="16"/>
      <w:szCs w:val="16"/>
    </w:rPr>
  </w:style>
  <w:style w:type="paragraph" w:styleId="CommentText">
    <w:name w:val="annotation text"/>
    <w:basedOn w:val="Normal"/>
    <w:semiHidden/>
    <w:rsid w:val="009E531D"/>
    <w:pPr>
      <w:widowControl/>
      <w:autoSpaceDE/>
      <w:autoSpaceDN/>
      <w:adjustRightInd/>
    </w:pPr>
    <w:rPr>
      <w:szCs w:val="20"/>
    </w:rPr>
  </w:style>
  <w:style w:type="paragraph" w:styleId="CommentSubject">
    <w:name w:val="annotation subject"/>
    <w:basedOn w:val="CommentText"/>
    <w:next w:val="CommentText"/>
    <w:semiHidden/>
    <w:rsid w:val="008C3887"/>
    <w:pPr>
      <w:widowControl w:val="0"/>
      <w:autoSpaceDE w:val="0"/>
      <w:autoSpaceDN w:val="0"/>
      <w:adjustRightInd w:val="0"/>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1297</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U.S. Geological Survey</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 Lyttle</dc:creator>
  <cp:keywords/>
  <dc:description/>
  <cp:lastModifiedBy>tthaler</cp:lastModifiedBy>
  <cp:revision>7</cp:revision>
  <cp:lastPrinted>2008-01-14T23:32:00Z</cp:lastPrinted>
  <dcterms:created xsi:type="dcterms:W3CDTF">2008-08-13T19:48:00Z</dcterms:created>
  <dcterms:modified xsi:type="dcterms:W3CDTF">2008-08-19T22:04:00Z</dcterms:modified>
</cp:coreProperties>
</file>