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694" w:rsidRPr="00187619" w:rsidRDefault="00583B01" w:rsidP="00187619">
      <w:pPr>
        <w:spacing w:after="0" w:line="240" w:lineRule="auto"/>
        <w:jc w:val="center"/>
        <w:rPr>
          <w:b/>
          <w:sz w:val="28"/>
        </w:rPr>
      </w:pPr>
      <w:r w:rsidRPr="00187619">
        <w:rPr>
          <w:b/>
          <w:sz w:val="28"/>
        </w:rPr>
        <w:t>Comments on the state of media migration</w:t>
      </w:r>
    </w:p>
    <w:p w:rsidR="00583B01" w:rsidRDefault="00583B01" w:rsidP="00187619">
      <w:pPr>
        <w:spacing w:after="0" w:line="240" w:lineRule="auto"/>
        <w:jc w:val="center"/>
      </w:pPr>
      <w:r>
        <w:t>Oct. 22, 2008</w:t>
      </w:r>
    </w:p>
    <w:p w:rsidR="00187619" w:rsidRDefault="00187619" w:rsidP="00187619">
      <w:pPr>
        <w:spacing w:after="0" w:line="240" w:lineRule="auto"/>
        <w:jc w:val="center"/>
      </w:pPr>
      <w:r>
        <w:t xml:space="preserve">S. </w:t>
      </w:r>
      <w:proofErr w:type="spellStart"/>
      <w:r>
        <w:t>Fuess</w:t>
      </w:r>
      <w:proofErr w:type="spellEnd"/>
    </w:p>
    <w:p w:rsidR="00E7128E" w:rsidRDefault="00E7128E" w:rsidP="00DD6C7F">
      <w:pPr>
        <w:spacing w:before="120" w:after="0" w:line="240" w:lineRule="auto"/>
        <w:rPr>
          <w:b/>
        </w:rPr>
      </w:pPr>
      <w:r>
        <w:rPr>
          <w:b/>
        </w:rPr>
        <w:t>Architecture:</w:t>
      </w:r>
    </w:p>
    <w:p w:rsidR="00E7128E" w:rsidRDefault="00E7128E" w:rsidP="00583B01">
      <w:pPr>
        <w:spacing w:after="0" w:line="240" w:lineRule="auto"/>
      </w:pPr>
      <w:r>
        <w:t>A very rough schematic of the migration stand architecture is:</w:t>
      </w:r>
    </w:p>
    <w:p w:rsidR="00C06A9E" w:rsidRDefault="00C06A9E" w:rsidP="00583B01">
      <w:pPr>
        <w:spacing w:after="0" w:line="240" w:lineRule="auto"/>
      </w:pPr>
    </w:p>
    <w:p w:rsidR="00C06A9E" w:rsidRDefault="00F554C9" w:rsidP="00C06A9E">
      <w:pPr>
        <w:spacing w:after="0" w:line="240" w:lineRule="auto"/>
        <w:jc w:val="center"/>
      </w:pPr>
      <w:r w:rsidRPr="00F554C9">
        <w:rPr>
          <w:noProof/>
        </w:rPr>
        <w:drawing>
          <wp:inline distT="0" distB="0" distL="0" distR="0">
            <wp:extent cx="4885862" cy="2670048"/>
            <wp:effectExtent l="0" t="0" r="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5862" cy="2670048"/>
                      <a:chOff x="2353138" y="2093976"/>
                      <a:chExt cx="4885862" cy="2670048"/>
                    </a:xfrm>
                  </a:grpSpPr>
                  <a:grpSp>
                    <a:nvGrpSpPr>
                      <a:cNvPr id="34" name="Group 33"/>
                      <a:cNvGrpSpPr/>
                    </a:nvGrpSpPr>
                    <a:grpSpPr>
                      <a:xfrm>
                        <a:off x="2353138" y="2093976"/>
                        <a:ext cx="4885862" cy="2670048"/>
                        <a:chOff x="2353138" y="2093976"/>
                        <a:chExt cx="4885862" cy="2670048"/>
                      </a:xfrm>
                    </a:grpSpPr>
                    <a:sp>
                      <a:nvSpPr>
                        <a:cNvPr id="5" name="TextBox 3"/>
                        <a:cNvSpPr txBox="1"/>
                      </a:nvSpPr>
                      <a:spPr>
                        <a:xfrm>
                          <a:off x="2353138" y="3008376"/>
                          <a:ext cx="800155" cy="646331"/>
                        </a:xfrm>
                        <a:prstGeom prst="rect">
                          <a:avLst/>
                        </a:prstGeom>
                        <a:no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Input</a:t>
                            </a:r>
                          </a:p>
                          <a:p>
                            <a:pPr algn="ctr"/>
                            <a:r>
                              <a:rPr lang="en-US" dirty="0" smtClean="0"/>
                              <a:t>Mover</a:t>
                            </a:r>
                            <a:endParaRPr lang="en-US" dirty="0"/>
                          </a:p>
                        </a:txBody>
                        <a:useSpRect/>
                      </a:txSp>
                    </a:sp>
                    <a:sp>
                      <a:nvSpPr>
                        <a:cNvPr id="6" name="TextBox 4"/>
                        <a:cNvSpPr txBox="1"/>
                      </a:nvSpPr>
                      <a:spPr>
                        <a:xfrm>
                          <a:off x="4005456" y="3008376"/>
                          <a:ext cx="1101135" cy="646331"/>
                        </a:xfrm>
                        <a:prstGeom prst="rect">
                          <a:avLst/>
                        </a:prstGeom>
                        <a:no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Migration</a:t>
                            </a:r>
                          </a:p>
                          <a:p>
                            <a:pPr algn="ctr"/>
                            <a:r>
                              <a:rPr lang="en-US" dirty="0" smtClean="0"/>
                              <a:t>Station</a:t>
                            </a:r>
                            <a:endParaRPr lang="en-US" dirty="0"/>
                          </a:p>
                        </a:txBody>
                        <a:useSpRect/>
                      </a:txSp>
                    </a:sp>
                    <a:sp>
                      <a:nvSpPr>
                        <a:cNvPr id="7" name="TextBox 5"/>
                        <a:cNvSpPr txBox="1"/>
                      </a:nvSpPr>
                      <a:spPr>
                        <a:xfrm>
                          <a:off x="5934538" y="3008376"/>
                          <a:ext cx="856325" cy="646331"/>
                        </a:xfrm>
                        <a:prstGeom prst="rect">
                          <a:avLst/>
                        </a:prstGeom>
                        <a:no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Output</a:t>
                            </a:r>
                          </a:p>
                          <a:p>
                            <a:pPr algn="ctr"/>
                            <a:r>
                              <a:rPr lang="en-US" dirty="0" smtClean="0"/>
                              <a:t>Mover</a:t>
                            </a:r>
                            <a:endParaRPr lang="en-US" dirty="0"/>
                          </a:p>
                        </a:txBody>
                        <a:useSpRect/>
                      </a:txSp>
                    </a:sp>
                    <a:grpSp>
                      <a:nvGrpSpPr>
                        <a:cNvPr id="8" name="Group 7"/>
                        <a:cNvGrpSpPr/>
                      </a:nvGrpSpPr>
                      <a:grpSpPr>
                        <a:xfrm>
                          <a:off x="4098823" y="4151376"/>
                          <a:ext cx="914400" cy="612648"/>
                          <a:chOff x="4419600" y="3657600"/>
                          <a:chExt cx="914400" cy="612648"/>
                        </a:xfrm>
                      </a:grpSpPr>
                      <a:sp>
                        <a:nvSpPr>
                          <a:cNvPr id="28" name="Flowchart: Magnetic Disk 27"/>
                          <a:cNvSpPr/>
                        </a:nvSpPr>
                        <a:spPr>
                          <a:xfrm>
                            <a:off x="4419600" y="3657600"/>
                            <a:ext cx="914400" cy="612648"/>
                          </a:xfrm>
                          <a:prstGeom prst="flowChartMagneticDisk">
                            <a:avLst/>
                          </a:prstGeom>
                          <a:noFill/>
                        </a:spPr>
                        <a:txSp>
                          <a:txBody>
                            <a:bodyPr rtlCol="0" anchor="b"/>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TextBox 7"/>
                          <a:cNvSpPr txBox="1"/>
                        </a:nvSpPr>
                        <a:spPr>
                          <a:xfrm>
                            <a:off x="4522376" y="3886200"/>
                            <a:ext cx="708848" cy="369332"/>
                          </a:xfrm>
                          <a:prstGeom prst="rect">
                            <a:avLst/>
                          </a:prstGeom>
                          <a:noFill/>
                        </a:spPr>
                        <a:txSp>
                          <a:txBody>
                            <a:bodyPr wrap="none" rtlCol="0" anchor="b">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Spool</a:t>
                              </a:r>
                              <a:endParaRPr lang="en-US" dirty="0"/>
                            </a:p>
                          </a:txBody>
                          <a:useSpRect/>
                        </a:txSp>
                      </a:sp>
                    </a:grpSp>
                    <a:grpSp>
                      <a:nvGrpSpPr>
                        <a:cNvPr id="9" name="Group 8"/>
                        <a:cNvGrpSpPr/>
                      </a:nvGrpSpPr>
                      <a:grpSpPr>
                        <a:xfrm>
                          <a:off x="2439860" y="4090547"/>
                          <a:ext cx="626710" cy="612648"/>
                          <a:chOff x="2514600" y="3688342"/>
                          <a:chExt cx="626710" cy="612648"/>
                        </a:xfrm>
                      </a:grpSpPr>
                      <a:sp>
                        <a:nvSpPr>
                          <a:cNvPr id="26" name="Flowchart: Sequential Access Storage 25"/>
                          <a:cNvSpPr/>
                        </a:nvSpPr>
                        <a:spPr>
                          <a:xfrm>
                            <a:off x="2521631" y="3688342"/>
                            <a:ext cx="612648" cy="612648"/>
                          </a:xfrm>
                          <a:prstGeom prst="flowChartMagneticTap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10"/>
                          <a:cNvSpPr txBox="1"/>
                        </a:nvSpPr>
                        <a:spPr>
                          <a:xfrm>
                            <a:off x="2514600" y="3810000"/>
                            <a:ext cx="62671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Tape</a:t>
                              </a:r>
                              <a:endParaRPr lang="en-US" dirty="0"/>
                            </a:p>
                          </a:txBody>
                          <a:useSpRect/>
                        </a:txSp>
                      </a:sp>
                    </a:grpSp>
                    <a:grpSp>
                      <a:nvGrpSpPr>
                        <a:cNvPr id="10" name="Group 9"/>
                        <a:cNvGrpSpPr/>
                      </a:nvGrpSpPr>
                      <a:grpSpPr>
                        <a:xfrm>
                          <a:off x="6049345" y="4090547"/>
                          <a:ext cx="626710" cy="612648"/>
                          <a:chOff x="2514600" y="3688342"/>
                          <a:chExt cx="626710" cy="612648"/>
                        </a:xfrm>
                      </a:grpSpPr>
                      <a:sp>
                        <a:nvSpPr>
                          <a:cNvPr id="24" name="Flowchart: Sequential Access Storage 23"/>
                          <a:cNvSpPr/>
                        </a:nvSpPr>
                        <a:spPr>
                          <a:xfrm>
                            <a:off x="2521631" y="3688342"/>
                            <a:ext cx="612648" cy="612648"/>
                          </a:xfrm>
                          <a:prstGeom prst="flowChartMagneticTap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14"/>
                          <a:cNvSpPr txBox="1"/>
                        </a:nvSpPr>
                        <a:spPr>
                          <a:xfrm>
                            <a:off x="2514600" y="3810000"/>
                            <a:ext cx="62671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Tape</a:t>
                              </a:r>
                              <a:endParaRPr lang="en-US" dirty="0"/>
                            </a:p>
                          </a:txBody>
                          <a:useSpRect/>
                        </a:txSp>
                      </a:sp>
                    </a:grpSp>
                    <a:cxnSp>
                      <a:nvCxnSpPr>
                        <a:cNvPr id="11" name="Straight Connector 10"/>
                        <a:cNvCxnSpPr/>
                      </a:nvCxnSpPr>
                      <a:spPr>
                        <a:xfrm rot="5400000">
                          <a:off x="2535295" y="3872627"/>
                          <a:ext cx="435840" cy="1"/>
                        </a:xfrm>
                        <a:prstGeom prst="line">
                          <a:avLst/>
                        </a:prstGeom>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rot="5400000">
                          <a:off x="6144780" y="3872627"/>
                          <a:ext cx="435840" cy="1"/>
                        </a:xfrm>
                        <a:prstGeom prst="line">
                          <a:avLst/>
                        </a:prstGeom>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rot="5400000">
                          <a:off x="4307689" y="3903041"/>
                          <a:ext cx="496669" cy="1"/>
                        </a:xfrm>
                        <a:prstGeom prst="line">
                          <a:avLst/>
                        </a:prstGeom>
                      </a:spPr>
                      <a:style>
                        <a:lnRef idx="1">
                          <a:schemeClr val="accent1"/>
                        </a:lnRef>
                        <a:fillRef idx="0">
                          <a:schemeClr val="accent1"/>
                        </a:fillRef>
                        <a:effectRef idx="0">
                          <a:schemeClr val="accent1"/>
                        </a:effectRef>
                        <a:fontRef idx="minor">
                          <a:schemeClr val="tx1"/>
                        </a:fontRef>
                      </a:style>
                    </a:cxnSp>
                    <a:sp>
                      <a:nvSpPr>
                        <a:cNvPr id="14" name="TextBox 27"/>
                        <a:cNvSpPr txBox="1"/>
                      </a:nvSpPr>
                      <a:spPr>
                        <a:xfrm>
                          <a:off x="3724738" y="2093976"/>
                          <a:ext cx="1662571" cy="369332"/>
                        </a:xfrm>
                        <a:prstGeom prst="rect">
                          <a:avLst/>
                        </a:prstGeom>
                        <a:no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Network Switch</a:t>
                            </a:r>
                            <a:endParaRPr lang="en-US" dirty="0"/>
                          </a:p>
                        </a:txBody>
                        <a:useSpRect/>
                      </a:txSp>
                    </a:sp>
                    <a:cxnSp>
                      <a:nvCxnSpPr>
                        <a:cNvPr id="15" name="Straight Connector 14"/>
                        <a:cNvCxnSpPr/>
                      </a:nvCxnSpPr>
                      <a:spPr>
                        <a:xfrm rot="5400000">
                          <a:off x="4283489" y="2735842"/>
                          <a:ext cx="545068"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Shape 35"/>
                        <a:cNvCxnSpPr>
                          <a:stCxn id="5" idx="0"/>
                          <a:endCxn id="14" idx="1"/>
                        </a:cNvCxnSpPr>
                      </a:nvCxnSpPr>
                      <a:spPr>
                        <a:xfrm rot="5400000" flipH="1" flipV="1">
                          <a:off x="2874110" y="2157748"/>
                          <a:ext cx="729734" cy="971522"/>
                        </a:xfrm>
                        <a:prstGeom prst="bentConnector2">
                          <a:avLst/>
                        </a:prstGeom>
                      </a:spPr>
                      <a:style>
                        <a:lnRef idx="1">
                          <a:schemeClr val="accent1"/>
                        </a:lnRef>
                        <a:fillRef idx="0">
                          <a:schemeClr val="accent1"/>
                        </a:fillRef>
                        <a:effectRef idx="0">
                          <a:schemeClr val="accent1"/>
                        </a:effectRef>
                        <a:fontRef idx="minor">
                          <a:schemeClr val="tx1"/>
                        </a:fontRef>
                      </a:style>
                    </a:cxnSp>
                    <a:cxnSp>
                      <a:nvCxnSpPr>
                        <a:cNvPr id="17" name="Shape 37"/>
                        <a:cNvCxnSpPr>
                          <a:stCxn id="14" idx="3"/>
                          <a:endCxn id="7" idx="0"/>
                        </a:cNvCxnSpPr>
                      </a:nvCxnSpPr>
                      <a:spPr>
                        <a:xfrm>
                          <a:off x="5387309" y="2278642"/>
                          <a:ext cx="975392" cy="729734"/>
                        </a:xfrm>
                        <a:prstGeom prst="bentConnector2">
                          <a:avLst/>
                        </a:prstGeom>
                      </a:spPr>
                      <a:style>
                        <a:lnRef idx="1">
                          <a:schemeClr val="accent1"/>
                        </a:lnRef>
                        <a:fillRef idx="0">
                          <a:schemeClr val="accent1"/>
                        </a:fillRef>
                        <a:effectRef idx="0">
                          <a:schemeClr val="accent1"/>
                        </a:effectRef>
                        <a:fontRef idx="minor">
                          <a:schemeClr val="tx1"/>
                        </a:fontRef>
                      </a:style>
                    </a:cxnSp>
                    <a:sp>
                      <a:nvSpPr>
                        <a:cNvPr id="18" name="Bent Arrow 17"/>
                        <a:cNvSpPr/>
                      </a:nvSpPr>
                      <a:spPr>
                        <a:xfrm>
                          <a:off x="2886538" y="2360676"/>
                          <a:ext cx="457200" cy="457200"/>
                        </a:xfrm>
                        <a:prstGeom prst="ben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Bent Arrow 18"/>
                        <a:cNvSpPr/>
                      </a:nvSpPr>
                      <a:spPr>
                        <a:xfrm>
                          <a:off x="4639138" y="2551176"/>
                          <a:ext cx="304800" cy="304800"/>
                        </a:xfrm>
                        <a:prstGeom prst="ben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Bent Arrow 19"/>
                        <a:cNvSpPr/>
                      </a:nvSpPr>
                      <a:spPr>
                        <a:xfrm rot="5400000">
                          <a:off x="4181938" y="2551176"/>
                          <a:ext cx="304800" cy="304800"/>
                        </a:xfrm>
                        <a:prstGeom prst="ben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Bent Arrow 20"/>
                        <a:cNvSpPr/>
                      </a:nvSpPr>
                      <a:spPr>
                        <a:xfrm rot="5400000">
                          <a:off x="5858338" y="2360676"/>
                          <a:ext cx="457200" cy="457200"/>
                        </a:xfrm>
                        <a:prstGeom prst="ben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Down Arrow 21"/>
                        <a:cNvSpPr/>
                      </a:nvSpPr>
                      <a:spPr>
                        <a:xfrm>
                          <a:off x="4410538" y="3770376"/>
                          <a:ext cx="45719" cy="304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Down Arrow 22"/>
                        <a:cNvSpPr/>
                      </a:nvSpPr>
                      <a:spPr>
                        <a:xfrm flipV="1">
                          <a:off x="4715338" y="3770376"/>
                          <a:ext cx="45719" cy="304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Straight Connector 30"/>
                        <a:cNvCxnSpPr/>
                      </a:nvCxnSpPr>
                      <a:spPr>
                        <a:xfrm>
                          <a:off x="3200400" y="3352800"/>
                          <a:ext cx="381000" cy="1588"/>
                        </a:xfrm>
                        <a:prstGeom prst="line">
                          <a:avLst/>
                        </a:prstGeom>
                        <a:ln w="57150">
                          <a:prstDash val="sysDot"/>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a:off x="6858000" y="3352800"/>
                          <a:ext cx="381000" cy="1588"/>
                        </a:xfrm>
                        <a:prstGeom prst="line">
                          <a:avLst/>
                        </a:prstGeom>
                        <a:ln w="57150">
                          <a:prstDash val="sysDot"/>
                        </a:ln>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a:off x="5105400" y="4495800"/>
                          <a:ext cx="381000" cy="1588"/>
                        </a:xfrm>
                        <a:prstGeom prst="line">
                          <a:avLst/>
                        </a:prstGeom>
                        <a:ln w="57150">
                          <a:prstDash val="sysDot"/>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C06A9E" w:rsidRPr="00E7128E" w:rsidRDefault="00C06A9E" w:rsidP="00C06A9E">
      <w:pPr>
        <w:spacing w:after="0" w:line="240" w:lineRule="auto"/>
        <w:jc w:val="center"/>
      </w:pPr>
    </w:p>
    <w:p w:rsidR="00583B01" w:rsidRPr="00187619" w:rsidRDefault="00583B01" w:rsidP="00DD6C7F">
      <w:pPr>
        <w:spacing w:before="120" w:after="0" w:line="240" w:lineRule="auto"/>
        <w:rPr>
          <w:b/>
        </w:rPr>
      </w:pPr>
      <w:r w:rsidRPr="00187619">
        <w:rPr>
          <w:b/>
        </w:rPr>
        <w:t>Current operations:</w:t>
      </w:r>
    </w:p>
    <w:p w:rsidR="00583B01" w:rsidRDefault="00583B01" w:rsidP="00187619">
      <w:pPr>
        <w:pStyle w:val="ListParagraph"/>
        <w:numPr>
          <w:ilvl w:val="0"/>
          <w:numId w:val="1"/>
        </w:numPr>
        <w:spacing w:after="0" w:line="240" w:lineRule="auto"/>
      </w:pPr>
      <w:r>
        <w:t xml:space="preserve">8 migration </w:t>
      </w:r>
      <w:r w:rsidR="00C06A9E">
        <w:t>stations</w:t>
      </w:r>
      <w:r>
        <w:t xml:space="preserve"> configured</w:t>
      </w:r>
    </w:p>
    <w:p w:rsidR="00583B01" w:rsidRDefault="00583B01" w:rsidP="00187619">
      <w:pPr>
        <w:pStyle w:val="ListParagraph"/>
        <w:numPr>
          <w:ilvl w:val="0"/>
          <w:numId w:val="1"/>
        </w:numPr>
        <w:spacing w:after="0" w:line="240" w:lineRule="auto"/>
      </w:pPr>
      <w:r>
        <w:t>Running LTO2 to LTO4 migration</w:t>
      </w:r>
    </w:p>
    <w:p w:rsidR="00583B01" w:rsidRPr="00187619" w:rsidRDefault="00583B01" w:rsidP="00DD6C7F">
      <w:pPr>
        <w:spacing w:before="120" w:after="0" w:line="240" w:lineRule="auto"/>
        <w:rPr>
          <w:b/>
        </w:rPr>
      </w:pPr>
      <w:r w:rsidRPr="00187619">
        <w:rPr>
          <w:b/>
        </w:rPr>
        <w:t>Analysis methodology:</w:t>
      </w:r>
    </w:p>
    <w:p w:rsidR="00583B01" w:rsidRDefault="00583B01" w:rsidP="00187619">
      <w:pPr>
        <w:pStyle w:val="ListParagraph"/>
        <w:numPr>
          <w:ilvl w:val="0"/>
          <w:numId w:val="2"/>
        </w:numPr>
        <w:spacing w:after="0" w:line="240" w:lineRule="auto"/>
      </w:pPr>
      <w:r>
        <w:t>Checked network MRTG plots on migration servers</w:t>
      </w:r>
    </w:p>
    <w:p w:rsidR="00583B01" w:rsidRDefault="00583B01" w:rsidP="00187619">
      <w:pPr>
        <w:pStyle w:val="ListParagraph"/>
        <w:numPr>
          <w:ilvl w:val="0"/>
          <w:numId w:val="2"/>
        </w:numPr>
        <w:spacing w:after="0" w:line="240" w:lineRule="auto"/>
      </w:pPr>
      <w:r>
        <w:t xml:space="preserve">Ran </w:t>
      </w:r>
      <w:proofErr w:type="spellStart"/>
      <w:r>
        <w:t>vmstat</w:t>
      </w:r>
      <w:proofErr w:type="spellEnd"/>
      <w:r>
        <w:t xml:space="preserve"> and </w:t>
      </w:r>
      <w:proofErr w:type="spellStart"/>
      <w:r>
        <w:t>iostat</w:t>
      </w:r>
      <w:proofErr w:type="spellEnd"/>
      <w:r>
        <w:t xml:space="preserve"> on migration servers to check disk rates</w:t>
      </w:r>
    </w:p>
    <w:p w:rsidR="00583B01" w:rsidRPr="00187619" w:rsidRDefault="00D62F3D" w:rsidP="00DD6C7F">
      <w:pPr>
        <w:spacing w:before="120" w:after="0" w:line="240" w:lineRule="auto"/>
        <w:rPr>
          <w:b/>
        </w:rPr>
      </w:pPr>
      <w:r>
        <w:rPr>
          <w:b/>
        </w:rPr>
        <w:t xml:space="preserve">Network </w:t>
      </w:r>
      <w:r w:rsidR="00583B01" w:rsidRPr="00187619">
        <w:rPr>
          <w:b/>
        </w:rPr>
        <w:t>Observations:</w:t>
      </w:r>
    </w:p>
    <w:p w:rsidR="00583B01" w:rsidRDefault="00D62F3D" w:rsidP="00187619">
      <w:pPr>
        <w:pStyle w:val="ListParagraph"/>
        <w:numPr>
          <w:ilvl w:val="0"/>
          <w:numId w:val="3"/>
        </w:numPr>
        <w:spacing w:after="0" w:line="240" w:lineRule="auto"/>
      </w:pPr>
      <w:r>
        <w:t>Shown below are the MRTG n</w:t>
      </w:r>
      <w:r w:rsidR="00583B01">
        <w:t>etwork plots for each of the 8 migration stations</w:t>
      </w:r>
      <w:r>
        <w:t xml:space="preserve"> for the previous week.</w:t>
      </w:r>
    </w:p>
    <w:p w:rsidR="00583B01" w:rsidRDefault="00D62F3D" w:rsidP="00187619">
      <w:pPr>
        <w:pStyle w:val="ListParagraph"/>
        <w:numPr>
          <w:ilvl w:val="0"/>
          <w:numId w:val="3"/>
        </w:numPr>
        <w:spacing w:after="0" w:line="240" w:lineRule="auto"/>
      </w:pPr>
      <w:r>
        <w:t>Each station has a bonded dual-</w:t>
      </w:r>
      <w:proofErr w:type="spellStart"/>
      <w:r w:rsidR="000276E6">
        <w:t>Gb</w:t>
      </w:r>
      <w:proofErr w:type="spellEnd"/>
      <w:r w:rsidR="000276E6">
        <w:t xml:space="preserve"> connection to switch r-s-fcc2-server.</w:t>
      </w:r>
    </w:p>
    <w:p w:rsidR="00187619" w:rsidRDefault="00187619" w:rsidP="00187619">
      <w:pPr>
        <w:pStyle w:val="ListParagraph"/>
        <w:numPr>
          <w:ilvl w:val="0"/>
          <w:numId w:val="3"/>
        </w:numPr>
        <w:spacing w:after="0" w:line="240" w:lineRule="auto"/>
      </w:pPr>
      <w:r>
        <w:t>In the following:</w:t>
      </w:r>
    </w:p>
    <w:p w:rsidR="00187619" w:rsidRDefault="00187619" w:rsidP="00187619">
      <w:pPr>
        <w:pStyle w:val="ListParagraph"/>
        <w:numPr>
          <w:ilvl w:val="1"/>
          <w:numId w:val="3"/>
        </w:numPr>
        <w:spacing w:after="0" w:line="240" w:lineRule="auto"/>
      </w:pPr>
      <w:r>
        <w:t>Plots show 30-minute average with 5-minute peak</w:t>
      </w:r>
    </w:p>
    <w:p w:rsidR="00187619" w:rsidRDefault="00187619" w:rsidP="00187619">
      <w:pPr>
        <w:pStyle w:val="ListParagraph"/>
        <w:numPr>
          <w:ilvl w:val="1"/>
          <w:numId w:val="3"/>
        </w:numPr>
        <w:spacing w:after="0" w:line="240" w:lineRule="auto"/>
      </w:pPr>
      <w:r>
        <w:t>Green = “in” to switch, thus  “out” of migration station to LTO4 mover</w:t>
      </w:r>
    </w:p>
    <w:p w:rsidR="00187619" w:rsidRDefault="00187619" w:rsidP="00187619">
      <w:pPr>
        <w:pStyle w:val="ListParagraph"/>
        <w:numPr>
          <w:ilvl w:val="1"/>
          <w:numId w:val="3"/>
        </w:numPr>
        <w:spacing w:after="0" w:line="240" w:lineRule="auto"/>
      </w:pPr>
      <w:r>
        <w:t>Dark Green = 5-minute peak of Green</w:t>
      </w:r>
    </w:p>
    <w:p w:rsidR="00187619" w:rsidRDefault="00187619" w:rsidP="00187619">
      <w:pPr>
        <w:pStyle w:val="ListParagraph"/>
        <w:numPr>
          <w:ilvl w:val="1"/>
          <w:numId w:val="3"/>
        </w:numPr>
        <w:spacing w:after="0" w:line="240" w:lineRule="auto"/>
      </w:pPr>
      <w:r>
        <w:t>Blue = “out” from switch, thus “in” to migration server from LTO2 mover</w:t>
      </w:r>
    </w:p>
    <w:p w:rsidR="00187619" w:rsidRDefault="00187619" w:rsidP="00187619">
      <w:pPr>
        <w:pStyle w:val="ListParagraph"/>
        <w:numPr>
          <w:ilvl w:val="1"/>
          <w:numId w:val="3"/>
        </w:numPr>
        <w:spacing w:after="0" w:line="240" w:lineRule="auto"/>
      </w:pPr>
      <w:r>
        <w:t>Magenta = 5-minute peak of Blue</w:t>
      </w:r>
    </w:p>
    <w:p w:rsidR="00DE7321" w:rsidRDefault="00DE7321">
      <w:r>
        <w:br w:type="page"/>
      </w:r>
    </w:p>
    <w:p w:rsidR="000276E6" w:rsidRDefault="00E53A96" w:rsidP="00583B01">
      <w:pPr>
        <w:spacing w:after="0" w:line="240" w:lineRule="auto"/>
      </w:pPr>
      <w:hyperlink r:id="rId5" w:history="1">
        <w:r w:rsidR="005B0D91">
          <w:rPr>
            <w:rStyle w:val="Hyperlink"/>
          </w:rPr>
          <w:t>stkendm5a</w:t>
        </w:r>
      </w:hyperlink>
    </w:p>
    <w:p w:rsidR="000276E6" w:rsidRDefault="000276E6" w:rsidP="00583B01">
      <w:pPr>
        <w:spacing w:after="0" w:line="240" w:lineRule="auto"/>
      </w:pPr>
      <w:r>
        <w:rPr>
          <w:noProof/>
        </w:rPr>
        <w:drawing>
          <wp:inline distT="0" distB="0" distL="0" distR="0">
            <wp:extent cx="5943600" cy="17404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740492"/>
                    </a:xfrm>
                    <a:prstGeom prst="rect">
                      <a:avLst/>
                    </a:prstGeom>
                    <a:noFill/>
                    <a:ln w="9525">
                      <a:noFill/>
                      <a:miter lim="800000"/>
                      <a:headEnd/>
                      <a:tailEnd/>
                    </a:ln>
                  </pic:spPr>
                </pic:pic>
              </a:graphicData>
            </a:graphic>
          </wp:inline>
        </w:drawing>
      </w:r>
    </w:p>
    <w:p w:rsidR="00A437CA" w:rsidRDefault="00A437CA" w:rsidP="00A437CA">
      <w:pPr>
        <w:pStyle w:val="ListParagraph"/>
        <w:numPr>
          <w:ilvl w:val="0"/>
          <w:numId w:val="5"/>
        </w:numPr>
        <w:spacing w:after="0" w:line="240" w:lineRule="auto"/>
      </w:pPr>
      <w:r>
        <w:t>This migration station is mostly idle.</w:t>
      </w:r>
    </w:p>
    <w:p w:rsidR="000276E6" w:rsidRDefault="00E53A96" w:rsidP="00583B01">
      <w:pPr>
        <w:spacing w:after="0" w:line="240" w:lineRule="auto"/>
      </w:pPr>
      <w:hyperlink r:id="rId7" w:history="1">
        <w:r w:rsidR="005B0D91">
          <w:rPr>
            <w:rStyle w:val="Hyperlink"/>
          </w:rPr>
          <w:t>stkendm6a</w:t>
        </w:r>
      </w:hyperlink>
      <w:r w:rsidR="00C411A1">
        <w:t xml:space="preserve"> (2 spool volumes)</w:t>
      </w:r>
    </w:p>
    <w:p w:rsidR="000276E6" w:rsidRDefault="000276E6" w:rsidP="00583B01">
      <w:pPr>
        <w:spacing w:after="0" w:line="240" w:lineRule="auto"/>
      </w:pPr>
      <w:r>
        <w:rPr>
          <w:noProof/>
        </w:rPr>
        <w:drawing>
          <wp:inline distT="0" distB="0" distL="0" distR="0">
            <wp:extent cx="5943600" cy="174049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740492"/>
                    </a:xfrm>
                    <a:prstGeom prst="rect">
                      <a:avLst/>
                    </a:prstGeom>
                    <a:noFill/>
                    <a:ln w="9525">
                      <a:noFill/>
                      <a:miter lim="800000"/>
                      <a:headEnd/>
                      <a:tailEnd/>
                    </a:ln>
                  </pic:spPr>
                </pic:pic>
              </a:graphicData>
            </a:graphic>
          </wp:inline>
        </w:drawing>
      </w:r>
    </w:p>
    <w:p w:rsidR="000276E6" w:rsidRDefault="00A437CA" w:rsidP="00A437CA">
      <w:pPr>
        <w:pStyle w:val="ListParagraph"/>
        <w:numPr>
          <w:ilvl w:val="0"/>
          <w:numId w:val="5"/>
        </w:numPr>
        <w:spacing w:after="0" w:line="240" w:lineRule="auto"/>
      </w:pPr>
      <w:r>
        <w:t>While active, 30-minute average to station ranges from 200-450 Mb/s</w:t>
      </w:r>
      <w:r w:rsidR="005F50ED">
        <w:t xml:space="preserve"> (25-56 MB/s)</w:t>
      </w:r>
      <w:r>
        <w:t>.</w:t>
      </w:r>
    </w:p>
    <w:p w:rsidR="00A437CA" w:rsidRDefault="00A437CA" w:rsidP="00A437CA">
      <w:pPr>
        <w:pStyle w:val="ListParagraph"/>
        <w:numPr>
          <w:ilvl w:val="0"/>
          <w:numId w:val="5"/>
        </w:numPr>
        <w:spacing w:after="0" w:line="240" w:lineRule="auto"/>
      </w:pPr>
      <w:r>
        <w:t>While active, 30-minute average from station ranges from 200-350 Mb/s</w:t>
      </w:r>
      <w:r w:rsidR="005F50ED">
        <w:t xml:space="preserve"> (25-44 MB/s)</w:t>
      </w:r>
      <w:r>
        <w:t>.</w:t>
      </w:r>
    </w:p>
    <w:p w:rsidR="00A437CA" w:rsidRDefault="00A437CA" w:rsidP="00A437CA">
      <w:pPr>
        <w:pStyle w:val="ListParagraph"/>
        <w:numPr>
          <w:ilvl w:val="0"/>
          <w:numId w:val="5"/>
        </w:numPr>
        <w:spacing w:after="0" w:line="240" w:lineRule="auto"/>
      </w:pPr>
      <w:r>
        <w:t>Duty factor for this station is ~60%.</w:t>
      </w:r>
    </w:p>
    <w:p w:rsidR="000276E6" w:rsidRDefault="00E53A96" w:rsidP="00583B01">
      <w:pPr>
        <w:spacing w:after="0" w:line="240" w:lineRule="auto"/>
      </w:pPr>
      <w:hyperlink r:id="rId9" w:history="1">
        <w:r w:rsidR="005B0D91">
          <w:rPr>
            <w:rStyle w:val="Hyperlink"/>
          </w:rPr>
          <w:t>stkendm7a</w:t>
        </w:r>
      </w:hyperlink>
      <w:r w:rsidR="00A37D5E">
        <w:t xml:space="preserve"> (4 spool disks)</w:t>
      </w:r>
    </w:p>
    <w:p w:rsidR="000276E6" w:rsidRDefault="000276E6" w:rsidP="00583B01">
      <w:pPr>
        <w:spacing w:after="0" w:line="240" w:lineRule="auto"/>
      </w:pPr>
      <w:r>
        <w:rPr>
          <w:noProof/>
        </w:rPr>
        <w:drawing>
          <wp:inline distT="0" distB="0" distL="0" distR="0">
            <wp:extent cx="5943600" cy="174049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1740492"/>
                    </a:xfrm>
                    <a:prstGeom prst="rect">
                      <a:avLst/>
                    </a:prstGeom>
                    <a:noFill/>
                    <a:ln w="9525">
                      <a:noFill/>
                      <a:miter lim="800000"/>
                      <a:headEnd/>
                      <a:tailEnd/>
                    </a:ln>
                  </pic:spPr>
                </pic:pic>
              </a:graphicData>
            </a:graphic>
          </wp:inline>
        </w:drawing>
      </w:r>
    </w:p>
    <w:p w:rsidR="00A437CA" w:rsidRDefault="00A437CA" w:rsidP="00A437CA">
      <w:pPr>
        <w:pStyle w:val="ListParagraph"/>
        <w:numPr>
          <w:ilvl w:val="0"/>
          <w:numId w:val="6"/>
        </w:numPr>
        <w:spacing w:after="0" w:line="240" w:lineRule="auto"/>
      </w:pPr>
      <w:r>
        <w:t>While active, 30-minute average to station ranges from 200-450 Mb/s</w:t>
      </w:r>
      <w:r w:rsidR="005F50ED">
        <w:t xml:space="preserve"> (25-56 MB/s)</w:t>
      </w:r>
      <w:r>
        <w:t>.</w:t>
      </w:r>
    </w:p>
    <w:p w:rsidR="00A437CA" w:rsidRDefault="00A437CA" w:rsidP="00A437CA">
      <w:pPr>
        <w:pStyle w:val="ListParagraph"/>
        <w:numPr>
          <w:ilvl w:val="0"/>
          <w:numId w:val="6"/>
        </w:numPr>
        <w:spacing w:after="0" w:line="240" w:lineRule="auto"/>
      </w:pPr>
      <w:r>
        <w:t>While active, 30-minute average from station ranges from 200-400 Mb/s</w:t>
      </w:r>
      <w:r w:rsidR="005F50ED">
        <w:t xml:space="preserve"> (25-50 MB/s)</w:t>
      </w:r>
      <w:r>
        <w:t>.</w:t>
      </w:r>
    </w:p>
    <w:p w:rsidR="000276E6" w:rsidRDefault="00A437CA" w:rsidP="00A437CA">
      <w:pPr>
        <w:pStyle w:val="ListParagraph"/>
        <w:numPr>
          <w:ilvl w:val="0"/>
          <w:numId w:val="6"/>
        </w:numPr>
        <w:spacing w:after="0" w:line="240" w:lineRule="auto"/>
      </w:pPr>
      <w:r>
        <w:t>Duty factor for this station is ~60%.</w:t>
      </w:r>
    </w:p>
    <w:p w:rsidR="00DE7321" w:rsidRDefault="00DE7321">
      <w:r>
        <w:br w:type="page"/>
      </w:r>
    </w:p>
    <w:p w:rsidR="000276E6" w:rsidRDefault="00E53A96" w:rsidP="00583B01">
      <w:pPr>
        <w:spacing w:after="0" w:line="240" w:lineRule="auto"/>
      </w:pPr>
      <w:hyperlink r:id="rId11" w:history="1">
        <w:r w:rsidR="005B0D91">
          <w:rPr>
            <w:rStyle w:val="Hyperlink"/>
          </w:rPr>
          <w:t>stkensm8a</w:t>
        </w:r>
      </w:hyperlink>
      <w:r w:rsidR="00A37D5E">
        <w:t xml:space="preserve"> (2 spool volumes)</w:t>
      </w:r>
    </w:p>
    <w:p w:rsidR="000276E6" w:rsidRDefault="000276E6" w:rsidP="00583B01">
      <w:pPr>
        <w:spacing w:after="0" w:line="240" w:lineRule="auto"/>
      </w:pPr>
      <w:r>
        <w:rPr>
          <w:noProof/>
        </w:rPr>
        <w:drawing>
          <wp:inline distT="0" distB="0" distL="0" distR="0">
            <wp:extent cx="5943600" cy="174049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1740492"/>
                    </a:xfrm>
                    <a:prstGeom prst="rect">
                      <a:avLst/>
                    </a:prstGeom>
                    <a:noFill/>
                    <a:ln w="9525">
                      <a:noFill/>
                      <a:miter lim="800000"/>
                      <a:headEnd/>
                      <a:tailEnd/>
                    </a:ln>
                  </pic:spPr>
                </pic:pic>
              </a:graphicData>
            </a:graphic>
          </wp:inline>
        </w:drawing>
      </w:r>
    </w:p>
    <w:p w:rsidR="00A437CA" w:rsidRDefault="00A437CA" w:rsidP="00A437CA">
      <w:pPr>
        <w:pStyle w:val="ListParagraph"/>
        <w:numPr>
          <w:ilvl w:val="0"/>
          <w:numId w:val="6"/>
        </w:numPr>
        <w:spacing w:after="0" w:line="240" w:lineRule="auto"/>
      </w:pPr>
      <w:r>
        <w:t xml:space="preserve">While active, 30-minute average </w:t>
      </w:r>
      <w:r w:rsidR="005F50ED">
        <w:t>to station is ~</w:t>
      </w:r>
      <w:r>
        <w:t>450 Mb/s</w:t>
      </w:r>
      <w:r w:rsidR="005F50ED">
        <w:t xml:space="preserve"> (56 MB/s)</w:t>
      </w:r>
      <w:r>
        <w:t>.</w:t>
      </w:r>
    </w:p>
    <w:p w:rsidR="00A437CA" w:rsidRDefault="00A437CA" w:rsidP="00A437CA">
      <w:pPr>
        <w:pStyle w:val="ListParagraph"/>
        <w:numPr>
          <w:ilvl w:val="0"/>
          <w:numId w:val="6"/>
        </w:numPr>
        <w:spacing w:after="0" w:line="240" w:lineRule="auto"/>
      </w:pPr>
      <w:r>
        <w:t>While active, 30-minute average</w:t>
      </w:r>
      <w:r w:rsidR="005F50ED">
        <w:t xml:space="preserve"> from station ranges from 250-3</w:t>
      </w:r>
      <w:r>
        <w:t>00 Mb/s</w:t>
      </w:r>
      <w:r w:rsidR="005F50ED">
        <w:t xml:space="preserve"> (31-37 MB/s)</w:t>
      </w:r>
      <w:r>
        <w:t>.</w:t>
      </w:r>
    </w:p>
    <w:p w:rsidR="00A437CA" w:rsidRDefault="00A437CA" w:rsidP="00A437CA">
      <w:pPr>
        <w:pStyle w:val="ListParagraph"/>
        <w:numPr>
          <w:ilvl w:val="0"/>
          <w:numId w:val="6"/>
        </w:numPr>
        <w:spacing w:after="0" w:line="240" w:lineRule="auto"/>
      </w:pPr>
      <w:r>
        <w:t>Duty factor for this station is ~80%.</w:t>
      </w:r>
    </w:p>
    <w:p w:rsidR="000276E6" w:rsidRDefault="000276E6" w:rsidP="00583B01">
      <w:pPr>
        <w:spacing w:after="0" w:line="240" w:lineRule="auto"/>
      </w:pPr>
    </w:p>
    <w:p w:rsidR="000276E6" w:rsidRDefault="00E53A96" w:rsidP="00583B01">
      <w:pPr>
        <w:spacing w:after="0" w:line="240" w:lineRule="auto"/>
      </w:pPr>
      <w:hyperlink r:id="rId13" w:history="1">
        <w:r w:rsidR="005B0D91">
          <w:rPr>
            <w:rStyle w:val="Hyperlink"/>
          </w:rPr>
          <w:t>stkendm9a</w:t>
        </w:r>
      </w:hyperlink>
      <w:r w:rsidR="00A37D5E">
        <w:t xml:space="preserve"> (2 spool volumes)</w:t>
      </w:r>
    </w:p>
    <w:p w:rsidR="000276E6" w:rsidRDefault="000276E6" w:rsidP="00583B01">
      <w:pPr>
        <w:spacing w:after="0" w:line="240" w:lineRule="auto"/>
      </w:pPr>
      <w:r>
        <w:rPr>
          <w:noProof/>
        </w:rPr>
        <w:drawing>
          <wp:inline distT="0" distB="0" distL="0" distR="0">
            <wp:extent cx="5943600" cy="174049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1740492"/>
                    </a:xfrm>
                    <a:prstGeom prst="rect">
                      <a:avLst/>
                    </a:prstGeom>
                    <a:noFill/>
                    <a:ln w="9525">
                      <a:noFill/>
                      <a:miter lim="800000"/>
                      <a:headEnd/>
                      <a:tailEnd/>
                    </a:ln>
                  </pic:spPr>
                </pic:pic>
              </a:graphicData>
            </a:graphic>
          </wp:inline>
        </w:drawing>
      </w:r>
    </w:p>
    <w:p w:rsidR="000276E6" w:rsidRDefault="005F50ED" w:rsidP="005F50ED">
      <w:pPr>
        <w:pStyle w:val="ListParagraph"/>
        <w:numPr>
          <w:ilvl w:val="0"/>
          <w:numId w:val="7"/>
        </w:numPr>
        <w:spacing w:after="0" w:line="240" w:lineRule="auto"/>
      </w:pPr>
      <w:r>
        <w:t>This station is likely used for scanning of migrated tape, reading from LTO4 to station at rates of 600-</w:t>
      </w:r>
      <w:proofErr w:type="gramStart"/>
      <w:r>
        <w:t>900  Mb</w:t>
      </w:r>
      <w:proofErr w:type="gramEnd"/>
      <w:r>
        <w:t>/s (75-112 MB/s).</w:t>
      </w:r>
    </w:p>
    <w:p w:rsidR="000276E6" w:rsidRDefault="00E53A96" w:rsidP="00583B01">
      <w:pPr>
        <w:spacing w:after="0" w:line="240" w:lineRule="auto"/>
      </w:pPr>
      <w:hyperlink r:id="rId15" w:history="1">
        <w:r w:rsidR="005B0D91">
          <w:rPr>
            <w:rStyle w:val="Hyperlink"/>
          </w:rPr>
          <w:t>stkendm10a</w:t>
        </w:r>
      </w:hyperlink>
      <w:r w:rsidR="00A37D5E">
        <w:t xml:space="preserve"> (2 spool volumes)</w:t>
      </w:r>
    </w:p>
    <w:p w:rsidR="000276E6" w:rsidRDefault="000276E6" w:rsidP="00583B01">
      <w:pPr>
        <w:spacing w:after="0" w:line="240" w:lineRule="auto"/>
      </w:pPr>
      <w:r>
        <w:rPr>
          <w:noProof/>
        </w:rPr>
        <w:drawing>
          <wp:inline distT="0" distB="0" distL="0" distR="0">
            <wp:extent cx="5943600" cy="174049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1740492"/>
                    </a:xfrm>
                    <a:prstGeom prst="rect">
                      <a:avLst/>
                    </a:prstGeom>
                    <a:noFill/>
                    <a:ln w="9525">
                      <a:noFill/>
                      <a:miter lim="800000"/>
                      <a:headEnd/>
                      <a:tailEnd/>
                    </a:ln>
                  </pic:spPr>
                </pic:pic>
              </a:graphicData>
            </a:graphic>
          </wp:inline>
        </w:drawing>
      </w:r>
    </w:p>
    <w:p w:rsidR="000276E6" w:rsidRDefault="005F50ED" w:rsidP="005F50ED">
      <w:pPr>
        <w:pStyle w:val="ListParagraph"/>
        <w:numPr>
          <w:ilvl w:val="0"/>
          <w:numId w:val="7"/>
        </w:numPr>
        <w:spacing w:after="0" w:line="240" w:lineRule="auto"/>
      </w:pPr>
      <w:r>
        <w:t>This station is mostly idle.</w:t>
      </w:r>
    </w:p>
    <w:p w:rsidR="00DE7321" w:rsidRDefault="00DE7321">
      <w:r>
        <w:br w:type="page"/>
      </w:r>
    </w:p>
    <w:p w:rsidR="000276E6" w:rsidRDefault="00E53A96" w:rsidP="00583B01">
      <w:pPr>
        <w:spacing w:after="0" w:line="240" w:lineRule="auto"/>
      </w:pPr>
      <w:hyperlink r:id="rId17" w:history="1">
        <w:r w:rsidR="005B0D91">
          <w:rPr>
            <w:rStyle w:val="Hyperlink"/>
          </w:rPr>
          <w:t>stkendm11a</w:t>
        </w:r>
      </w:hyperlink>
      <w:r w:rsidR="00A37D5E">
        <w:t xml:space="preserve"> (2 spool volumes)</w:t>
      </w:r>
    </w:p>
    <w:p w:rsidR="000276E6" w:rsidRDefault="000276E6" w:rsidP="00583B01">
      <w:pPr>
        <w:spacing w:after="0" w:line="240" w:lineRule="auto"/>
      </w:pPr>
      <w:r>
        <w:rPr>
          <w:noProof/>
        </w:rPr>
        <w:drawing>
          <wp:inline distT="0" distB="0" distL="0" distR="0">
            <wp:extent cx="5943600" cy="174049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943600" cy="1740492"/>
                    </a:xfrm>
                    <a:prstGeom prst="rect">
                      <a:avLst/>
                    </a:prstGeom>
                    <a:noFill/>
                    <a:ln w="9525">
                      <a:noFill/>
                      <a:miter lim="800000"/>
                      <a:headEnd/>
                      <a:tailEnd/>
                    </a:ln>
                  </pic:spPr>
                </pic:pic>
              </a:graphicData>
            </a:graphic>
          </wp:inline>
        </w:drawing>
      </w:r>
    </w:p>
    <w:p w:rsidR="000276E6" w:rsidRDefault="005F50ED" w:rsidP="005F50ED">
      <w:pPr>
        <w:pStyle w:val="ListParagraph"/>
        <w:numPr>
          <w:ilvl w:val="0"/>
          <w:numId w:val="7"/>
        </w:numPr>
        <w:spacing w:after="0" w:line="240" w:lineRule="auto"/>
      </w:pPr>
      <w:r>
        <w:t>This station is mostly idle.</w:t>
      </w:r>
    </w:p>
    <w:p w:rsidR="00187619" w:rsidRDefault="00E53A96" w:rsidP="00583B01">
      <w:pPr>
        <w:spacing w:after="0" w:line="240" w:lineRule="auto"/>
      </w:pPr>
      <w:hyperlink r:id="rId19" w:history="1">
        <w:r w:rsidR="005B0D91">
          <w:rPr>
            <w:rStyle w:val="Hyperlink"/>
          </w:rPr>
          <w:t>stkendm12a</w:t>
        </w:r>
      </w:hyperlink>
      <w:r w:rsidR="00A37D5E">
        <w:t xml:space="preserve"> (2 spool volumes)</w:t>
      </w:r>
    </w:p>
    <w:p w:rsidR="00187619" w:rsidRDefault="00187619" w:rsidP="00583B01">
      <w:pPr>
        <w:spacing w:after="0" w:line="240" w:lineRule="auto"/>
      </w:pPr>
      <w:r>
        <w:rPr>
          <w:noProof/>
        </w:rPr>
        <w:drawing>
          <wp:inline distT="0" distB="0" distL="0" distR="0">
            <wp:extent cx="5943600" cy="174049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943600" cy="1740492"/>
                    </a:xfrm>
                    <a:prstGeom prst="rect">
                      <a:avLst/>
                    </a:prstGeom>
                    <a:noFill/>
                    <a:ln w="9525">
                      <a:noFill/>
                      <a:miter lim="800000"/>
                      <a:headEnd/>
                      <a:tailEnd/>
                    </a:ln>
                  </pic:spPr>
                </pic:pic>
              </a:graphicData>
            </a:graphic>
          </wp:inline>
        </w:drawing>
      </w:r>
    </w:p>
    <w:p w:rsidR="005F50ED" w:rsidRDefault="005F50ED" w:rsidP="005F50ED">
      <w:pPr>
        <w:pStyle w:val="ListParagraph"/>
        <w:numPr>
          <w:ilvl w:val="0"/>
          <w:numId w:val="6"/>
        </w:numPr>
        <w:spacing w:after="0" w:line="240" w:lineRule="auto"/>
      </w:pPr>
      <w:r>
        <w:t>While active, 30-minute average to station ranges from 200-450 Mb/s (25-56 MB/s).</w:t>
      </w:r>
    </w:p>
    <w:p w:rsidR="005F50ED" w:rsidRDefault="005F50ED" w:rsidP="005F50ED">
      <w:pPr>
        <w:pStyle w:val="ListParagraph"/>
        <w:numPr>
          <w:ilvl w:val="0"/>
          <w:numId w:val="6"/>
        </w:numPr>
        <w:spacing w:after="0" w:line="240" w:lineRule="auto"/>
      </w:pPr>
      <w:r>
        <w:t>While active, 30-minute average from station ranges from 200-400 Mb/s (25-50 MB/s).</w:t>
      </w:r>
    </w:p>
    <w:p w:rsidR="005F50ED" w:rsidRDefault="005F50ED" w:rsidP="005F50ED">
      <w:pPr>
        <w:pStyle w:val="ListParagraph"/>
        <w:numPr>
          <w:ilvl w:val="0"/>
          <w:numId w:val="6"/>
        </w:numPr>
        <w:spacing w:after="0" w:line="240" w:lineRule="auto"/>
      </w:pPr>
      <w:r>
        <w:t>Duty factor for this station is ~40%.</w:t>
      </w:r>
    </w:p>
    <w:p w:rsidR="00187619" w:rsidRDefault="00187619" w:rsidP="00583B01">
      <w:pPr>
        <w:spacing w:after="0" w:line="240" w:lineRule="auto"/>
      </w:pPr>
    </w:p>
    <w:p w:rsidR="00D62F3D" w:rsidRDefault="00D62F3D" w:rsidP="00DD6C7F">
      <w:pPr>
        <w:spacing w:before="120" w:after="0" w:line="240" w:lineRule="auto"/>
        <w:rPr>
          <w:b/>
        </w:rPr>
      </w:pPr>
      <w:r w:rsidRPr="00D62F3D">
        <w:rPr>
          <w:b/>
        </w:rPr>
        <w:t xml:space="preserve">Disk </w:t>
      </w:r>
      <w:proofErr w:type="gramStart"/>
      <w:r w:rsidRPr="00D62F3D">
        <w:rPr>
          <w:b/>
        </w:rPr>
        <w:t>Rate  Observations</w:t>
      </w:r>
      <w:proofErr w:type="gramEnd"/>
      <w:r w:rsidRPr="00D62F3D">
        <w:rPr>
          <w:b/>
        </w:rPr>
        <w:t>:</w:t>
      </w:r>
    </w:p>
    <w:p w:rsidR="00D62F3D" w:rsidRPr="00D62F3D" w:rsidRDefault="00D62F3D" w:rsidP="00583B01">
      <w:pPr>
        <w:spacing w:after="0" w:line="240" w:lineRule="auto"/>
      </w:pPr>
      <w:r>
        <w:t>Disk I/O rates were observed on idle (to run tests) and active migration stations:</w:t>
      </w:r>
    </w:p>
    <w:p w:rsidR="00C74CA3" w:rsidRDefault="00D62F3D" w:rsidP="00C74CA3">
      <w:pPr>
        <w:pStyle w:val="ListParagraph"/>
        <w:numPr>
          <w:ilvl w:val="0"/>
          <w:numId w:val="4"/>
        </w:numPr>
        <w:spacing w:after="0" w:line="240" w:lineRule="auto"/>
      </w:pPr>
      <w:r>
        <w:t xml:space="preserve">Tests were performed on stkendm10a while it was otherwise idle.  This </w:t>
      </w:r>
      <w:r w:rsidR="00C74CA3">
        <w:t xml:space="preserve">node has 8GB of memory and one quad-core </w:t>
      </w:r>
      <w:r>
        <w:t xml:space="preserve">2.86 GHz </w:t>
      </w:r>
      <w:r w:rsidR="00C74CA3">
        <w:t>Intel X3360 processor</w:t>
      </w:r>
      <w:r>
        <w:t>.</w:t>
      </w:r>
      <w:r w:rsidR="00C74CA3">
        <w:t xml:space="preserve">  Two disk arrays are configured from a (shared with other </w:t>
      </w:r>
      <w:proofErr w:type="spellStart"/>
      <w:r w:rsidR="00C74CA3">
        <w:t>stkendm</w:t>
      </w:r>
      <w:proofErr w:type="spellEnd"/>
      <w:r w:rsidR="00C74CA3">
        <w:t xml:space="preserve"> nodes) </w:t>
      </w:r>
      <w:proofErr w:type="spellStart"/>
      <w:r w:rsidR="00C74CA3">
        <w:t>SataBeast</w:t>
      </w:r>
      <w:proofErr w:type="spellEnd"/>
      <w:r w:rsidR="00C74CA3">
        <w:t xml:space="preserve"> – each with 535 GB total </w:t>
      </w:r>
      <w:proofErr w:type="gramStart"/>
      <w:r w:rsidR="00C74CA3">
        <w:t>space .</w:t>
      </w:r>
      <w:proofErr w:type="gramEnd"/>
    </w:p>
    <w:p w:rsidR="00C74CA3" w:rsidRDefault="00C74CA3" w:rsidP="00C74CA3">
      <w:pPr>
        <w:spacing w:after="0" w:line="240" w:lineRule="auto"/>
        <w:ind w:left="1350"/>
        <w:rPr>
          <w:i/>
        </w:rPr>
      </w:pPr>
      <w:r w:rsidRPr="00C74CA3">
        <w:rPr>
          <w:i/>
        </w:rPr>
        <w:t>Note: this is a question, as the thinking was that each volume was constructed as a RAID-1 stripe set of five 1 TB spindles – and hence would have e</w:t>
      </w:r>
      <w:r>
        <w:rPr>
          <w:i/>
        </w:rPr>
        <w:t>xpected 5000 GB available space</w:t>
      </w:r>
      <w:r w:rsidRPr="00C74CA3">
        <w:rPr>
          <w:i/>
        </w:rPr>
        <w:t>.</w:t>
      </w:r>
    </w:p>
    <w:p w:rsidR="00C74CA3" w:rsidRPr="00C74CA3" w:rsidRDefault="00C74CA3" w:rsidP="00C74CA3">
      <w:pPr>
        <w:spacing w:after="0" w:line="240" w:lineRule="auto"/>
        <w:ind w:left="720"/>
      </w:pPr>
      <w:r>
        <w:t xml:space="preserve">One or more read or write instance of </w:t>
      </w:r>
      <w:proofErr w:type="spellStart"/>
      <w:r>
        <w:t>dd</w:t>
      </w:r>
      <w:proofErr w:type="spellEnd"/>
      <w:r>
        <w:t xml:space="preserve"> (block sizes of 1024 and 131072 were tried with little difference) was run.  Observations </w:t>
      </w:r>
      <w:r w:rsidR="00DE2A4F">
        <w:t xml:space="preserve">(from </w:t>
      </w:r>
      <w:proofErr w:type="spellStart"/>
      <w:r w:rsidR="00DE2A4F">
        <w:t>vmstat</w:t>
      </w:r>
      <w:proofErr w:type="spellEnd"/>
      <w:r w:rsidR="00DE2A4F">
        <w:t xml:space="preserve">) </w:t>
      </w:r>
      <w:r>
        <w:t>are:</w:t>
      </w:r>
    </w:p>
    <w:p w:rsidR="00D62F3D" w:rsidRDefault="00C74CA3" w:rsidP="00D62F3D">
      <w:pPr>
        <w:pStyle w:val="ListParagraph"/>
        <w:numPr>
          <w:ilvl w:val="1"/>
          <w:numId w:val="4"/>
        </w:numPr>
        <w:spacing w:after="0" w:line="240" w:lineRule="auto"/>
      </w:pPr>
      <w:r>
        <w:t>A single write to disk averages 175 MB/s.  During the write operations the effect of the buffer cache is noted, where at the 5s buffer flush interval the rate to disk peaks near 270 MB/s.  It is not clear why this peak rate can’t be sustained.</w:t>
      </w:r>
    </w:p>
    <w:p w:rsidR="00C74CA3" w:rsidRDefault="00C74CA3" w:rsidP="00D62F3D">
      <w:pPr>
        <w:pStyle w:val="ListParagraph"/>
        <w:numPr>
          <w:ilvl w:val="1"/>
          <w:numId w:val="4"/>
        </w:numPr>
        <w:spacing w:after="0" w:line="240" w:lineRule="auto"/>
      </w:pPr>
      <w:r>
        <w:t>A single read from disk averages 125 MB/s</w:t>
      </w:r>
      <w:r w:rsidR="001C35AC">
        <w:t xml:space="preserve"> (small block size) to 200 MB/s (large block size)</w:t>
      </w:r>
      <w:r>
        <w:t>.</w:t>
      </w:r>
    </w:p>
    <w:p w:rsidR="00C74CA3" w:rsidRDefault="00DE2A4F" w:rsidP="00D62F3D">
      <w:pPr>
        <w:pStyle w:val="ListParagraph"/>
        <w:numPr>
          <w:ilvl w:val="1"/>
          <w:numId w:val="4"/>
        </w:numPr>
        <w:spacing w:after="0" w:line="240" w:lineRule="auto"/>
      </w:pPr>
      <w:r>
        <w:t xml:space="preserve">A test with a simultaneous </w:t>
      </w:r>
      <w:r w:rsidR="001C35AC">
        <w:t xml:space="preserve"> read and write to the same volume showed a write rate of ~175 MB/s and a read rate near zero until the write completes, at which time the read proceeds at ~170 MB/s (large block size).  This behavior of the write dominating the read is a known feature of the Linux “</w:t>
      </w:r>
      <w:proofErr w:type="spellStart"/>
      <w:r w:rsidR="001C35AC">
        <w:t>cfq</w:t>
      </w:r>
      <w:proofErr w:type="spellEnd"/>
      <w:r w:rsidR="001C35AC">
        <w:t xml:space="preserve">” elevator (I/O scheduler).  In practice it is </w:t>
      </w:r>
      <w:r w:rsidR="001C35AC">
        <w:lastRenderedPageBreak/>
        <w:t>unlikely that any write operation will saturate the scheduler, and hence intervening read operations should proceed.</w:t>
      </w:r>
    </w:p>
    <w:p w:rsidR="001C35AC" w:rsidRDefault="001C35AC" w:rsidP="00D62F3D">
      <w:pPr>
        <w:pStyle w:val="ListParagraph"/>
        <w:numPr>
          <w:ilvl w:val="1"/>
          <w:numId w:val="4"/>
        </w:numPr>
        <w:spacing w:after="0" w:line="240" w:lineRule="auto"/>
      </w:pPr>
      <w:r>
        <w:t>A test with two simultaneous write operations to distinct volumes gives an aggregate write rate of between 200 and 340 MB/s.  The variation in instantaneous rates is likely due to buffer caching.</w:t>
      </w:r>
    </w:p>
    <w:p w:rsidR="001C35AC" w:rsidRDefault="001C35AC" w:rsidP="00D62F3D">
      <w:pPr>
        <w:pStyle w:val="ListParagraph"/>
        <w:numPr>
          <w:ilvl w:val="1"/>
          <w:numId w:val="4"/>
        </w:numPr>
        <w:spacing w:after="0" w:line="240" w:lineRule="auto"/>
      </w:pPr>
      <w:r>
        <w:t>A test with a simultaneous write operation to one volume and a read operation from a different volume yields a write rate of 100-150 MB/s and a read rate of ~122 MB/s.  At these rates the idle time of the processor is near zero, implying that there are insufficient cycles to handle any higher rate.</w:t>
      </w:r>
    </w:p>
    <w:p w:rsidR="00295623" w:rsidRDefault="00295623" w:rsidP="00295623">
      <w:pPr>
        <w:pStyle w:val="ListParagraph"/>
        <w:numPr>
          <w:ilvl w:val="0"/>
          <w:numId w:val="4"/>
        </w:numPr>
        <w:spacing w:after="0" w:line="240" w:lineRule="auto"/>
      </w:pPr>
      <w:r>
        <w:t xml:space="preserve">Disk rates were measured (with </w:t>
      </w:r>
      <w:proofErr w:type="spellStart"/>
      <w:r>
        <w:t>vmstat</w:t>
      </w:r>
      <w:proofErr w:type="spellEnd"/>
      <w:r>
        <w:t xml:space="preserve"> or </w:t>
      </w:r>
      <w:proofErr w:type="spellStart"/>
      <w:r>
        <w:t>iostat</w:t>
      </w:r>
      <w:proofErr w:type="spellEnd"/>
      <w:r>
        <w:t>) during normal migration operations</w:t>
      </w:r>
      <w:r w:rsidR="00136123">
        <w:t>, which consisted of a single tape being read and a single tape being written</w:t>
      </w:r>
      <w:r>
        <w:t>.  Observed rates were:</w:t>
      </w:r>
    </w:p>
    <w:p w:rsidR="009847CD" w:rsidRDefault="005B0D91" w:rsidP="00295623">
      <w:pPr>
        <w:pStyle w:val="ListParagraph"/>
        <w:numPr>
          <w:ilvl w:val="1"/>
          <w:numId w:val="4"/>
        </w:numPr>
        <w:spacing w:after="0" w:line="240" w:lineRule="auto"/>
      </w:pPr>
      <w:r>
        <w:t xml:space="preserve">The </w:t>
      </w:r>
      <w:r w:rsidRPr="005B0D91">
        <w:rPr>
          <w:color w:val="FF0000"/>
        </w:rPr>
        <w:t>rate to</w:t>
      </w:r>
      <w:r w:rsidR="00136123" w:rsidRPr="005B0D91">
        <w:rPr>
          <w:color w:val="FF0000"/>
        </w:rPr>
        <w:t xml:space="preserve"> disk</w:t>
      </w:r>
      <w:r w:rsidR="00136123">
        <w:t xml:space="preserve"> (“</w:t>
      </w:r>
      <w:proofErr w:type="spellStart"/>
      <w:r w:rsidR="00136123">
        <w:t>bo</w:t>
      </w:r>
      <w:proofErr w:type="spellEnd"/>
      <w:r w:rsidR="00136123">
        <w:t xml:space="preserve">” in </w:t>
      </w:r>
      <w:proofErr w:type="spellStart"/>
      <w:r w:rsidR="00136123">
        <w:t>vmstat</w:t>
      </w:r>
      <w:proofErr w:type="spellEnd"/>
      <w:r w:rsidR="00136123">
        <w:t>) typically show</w:t>
      </w:r>
      <w:r>
        <w:t>s</w:t>
      </w:r>
      <w:r w:rsidR="00136123">
        <w:t xml:space="preserve"> a pattern of ~100 MB/s for one second, followed by two seconds of no output – giving an </w:t>
      </w:r>
      <w:r w:rsidR="00136123" w:rsidRPr="005B0D91">
        <w:rPr>
          <w:color w:val="FF0000"/>
        </w:rPr>
        <w:t>average of ~33 MB/s</w:t>
      </w:r>
      <w:r w:rsidR="00541DC2" w:rsidRPr="005B0D91">
        <w:rPr>
          <w:color w:val="FF0000"/>
        </w:rPr>
        <w:t xml:space="preserve"> (260 Mb/s)</w:t>
      </w:r>
      <w:r w:rsidR="00136123">
        <w:t>.  This rate is consistent with what is expected from</w:t>
      </w:r>
      <w:r w:rsidR="009847CD">
        <w:t xml:space="preserve"> reading</w:t>
      </w:r>
      <w:r w:rsidR="0093582D">
        <w:t xml:space="preserve"> the LTO2 drive.</w:t>
      </w:r>
      <w:r w:rsidR="009847CD">
        <w:t xml:space="preserve">  This pattern is repeated for the duration of reading a single file, type 100 MB to 1 GB in size.  Between files the rate drops to zero.</w:t>
      </w:r>
    </w:p>
    <w:p w:rsidR="00295623" w:rsidRDefault="0093582D" w:rsidP="009847CD">
      <w:pPr>
        <w:spacing w:after="0" w:line="240" w:lineRule="auto"/>
        <w:ind w:left="1800"/>
        <w:rPr>
          <w:i/>
        </w:rPr>
      </w:pPr>
      <w:r w:rsidRPr="009847CD">
        <w:rPr>
          <w:i/>
        </w:rPr>
        <w:t xml:space="preserve">Note that the standard </w:t>
      </w:r>
      <w:proofErr w:type="spellStart"/>
      <w:r w:rsidRPr="009847CD">
        <w:rPr>
          <w:i/>
        </w:rPr>
        <w:t>pdflush</w:t>
      </w:r>
      <w:proofErr w:type="spellEnd"/>
      <w:r w:rsidRPr="009847CD">
        <w:rPr>
          <w:i/>
        </w:rPr>
        <w:t xml:space="preserve"> dirty cache flushing period is 30 seconds, and </w:t>
      </w:r>
      <w:proofErr w:type="spellStart"/>
      <w:r w:rsidRPr="009847CD">
        <w:rPr>
          <w:i/>
        </w:rPr>
        <w:t>pdflush</w:t>
      </w:r>
      <w:proofErr w:type="spellEnd"/>
      <w:r w:rsidRPr="009847CD">
        <w:rPr>
          <w:i/>
        </w:rPr>
        <w:t xml:space="preserve"> wakes every 5 seconds to check.  With the observed 3 second period, the hypothesis is that in this period greater than 10% of the buffer cache becomes dirty; hence the 100 MB written at this time implies a 1 GB buffer cache is being employed.  (This could be easily studied further.)</w:t>
      </w:r>
    </w:p>
    <w:p w:rsidR="00277296" w:rsidRPr="00277296" w:rsidRDefault="00277296" w:rsidP="00277296">
      <w:pPr>
        <w:spacing w:after="0" w:line="240" w:lineRule="auto"/>
        <w:ind w:left="1440"/>
      </w:pPr>
      <w:r>
        <w:t>The longer term average rate from input tape to disk buffer is less than 33 MB/s, as reduced by the null periods between file transfers.  The network MRTG plots illustrate the rates averaged over longer periods.</w:t>
      </w:r>
    </w:p>
    <w:p w:rsidR="00541DC2" w:rsidRDefault="0093582D" w:rsidP="005B0D91">
      <w:pPr>
        <w:pStyle w:val="ListParagraph"/>
        <w:numPr>
          <w:ilvl w:val="1"/>
          <w:numId w:val="4"/>
        </w:numPr>
        <w:spacing w:after="0" w:line="240" w:lineRule="auto"/>
      </w:pPr>
      <w:r>
        <w:t xml:space="preserve">The </w:t>
      </w:r>
      <w:r w:rsidRPr="005B0D91">
        <w:rPr>
          <w:color w:val="FF0000"/>
        </w:rPr>
        <w:t>rate from disk</w:t>
      </w:r>
      <w:r>
        <w:t xml:space="preserve"> (“bi” in </w:t>
      </w:r>
      <w:proofErr w:type="spellStart"/>
      <w:r>
        <w:t>vmstat</w:t>
      </w:r>
      <w:proofErr w:type="spellEnd"/>
      <w:r>
        <w:t xml:space="preserve">) </w:t>
      </w:r>
      <w:r w:rsidR="007A58EE">
        <w:t xml:space="preserve">is </w:t>
      </w:r>
      <w:r w:rsidR="007A58EE" w:rsidRPr="005B0D91">
        <w:rPr>
          <w:color w:val="FF0000"/>
        </w:rPr>
        <w:t xml:space="preserve">consistently 75 MB/s </w:t>
      </w:r>
      <w:r w:rsidR="00541DC2" w:rsidRPr="005B0D91">
        <w:rPr>
          <w:color w:val="FF0000"/>
        </w:rPr>
        <w:t>(600 Mb/s)</w:t>
      </w:r>
      <w:r w:rsidR="00541DC2">
        <w:t xml:space="preserve"> </w:t>
      </w:r>
      <w:r w:rsidR="007A58EE">
        <w:t xml:space="preserve">during the period a file is being transferred.  This is consistent with an LTO4 write speed of 60-120 MB/s.  In between these transfers the rate drops to zero.  The idle time is due to file metadata operations; it is expected to be ~2 </w:t>
      </w:r>
      <w:proofErr w:type="spellStart"/>
      <w:r w:rsidR="007A58EE">
        <w:t>secs</w:t>
      </w:r>
      <w:proofErr w:type="spellEnd"/>
      <w:r w:rsidR="007A58EE">
        <w:t xml:space="preserve">, but was observed to be ~10 </w:t>
      </w:r>
      <w:proofErr w:type="spellStart"/>
      <w:r w:rsidR="007A58EE">
        <w:t>secs</w:t>
      </w:r>
      <w:proofErr w:type="spellEnd"/>
      <w:r w:rsidR="007A58EE">
        <w:t xml:space="preserve"> for many of the transfers studied – a possible indication of a problem.</w:t>
      </w:r>
      <w:r w:rsidR="007A58EE">
        <w:br/>
        <w:t xml:space="preserve">The </w:t>
      </w:r>
      <w:r w:rsidR="00541DC2">
        <w:t xml:space="preserve">longer term average rate </w:t>
      </w:r>
      <w:r w:rsidR="00277296">
        <w:t xml:space="preserve">from disk buffer </w:t>
      </w:r>
      <w:r w:rsidR="00541DC2">
        <w:t>to output tape is less than 75 MB</w:t>
      </w:r>
      <w:r w:rsidR="00277296">
        <w:t>/s, as reduced by the</w:t>
      </w:r>
      <w:r w:rsidR="00541DC2">
        <w:t xml:space="preserve"> null periods between file transfers.</w:t>
      </w:r>
      <w:r w:rsidR="00277296">
        <w:t xml:space="preserve">  The network MRTG plots illustrate the rates averaged over longer periods.</w:t>
      </w:r>
    </w:p>
    <w:p w:rsidR="005B0D91" w:rsidRPr="005B0D91" w:rsidRDefault="005B0D91" w:rsidP="005B0D91">
      <w:pPr>
        <w:spacing w:before="120" w:after="0" w:line="240" w:lineRule="auto"/>
        <w:rPr>
          <w:b/>
        </w:rPr>
      </w:pPr>
      <w:r w:rsidRPr="005B0D91">
        <w:rPr>
          <w:b/>
        </w:rPr>
        <w:t>Conclusions:</w:t>
      </w:r>
    </w:p>
    <w:p w:rsidR="005B0D91" w:rsidRDefault="005B0D91" w:rsidP="005B0D91">
      <w:pPr>
        <w:pStyle w:val="ListParagraph"/>
        <w:numPr>
          <w:ilvl w:val="0"/>
          <w:numId w:val="8"/>
        </w:numPr>
        <w:spacing w:before="120" w:after="0" w:line="240" w:lineRule="auto"/>
      </w:pPr>
      <w:r>
        <w:t>The rate from LTO2 to spool disk averages 33 MB/s (260 Mb/s) while a single file transfer is active.</w:t>
      </w:r>
      <w:r w:rsidR="009847CD">
        <w:t xml:space="preserve">   The network plots average a minimum of 5 minutes, so display this active rate averaged with the inactive between-file periods.  The network </w:t>
      </w:r>
      <w:r w:rsidR="00EC2444">
        <w:t>rates</w:t>
      </w:r>
      <w:r w:rsidR="00C81C61">
        <w:t xml:space="preserve"> show 200</w:t>
      </w:r>
      <w:r w:rsidR="009847CD">
        <w:t xml:space="preserve">-450 Mb/s, </w:t>
      </w:r>
      <w:r w:rsidR="00C81C61">
        <w:t xml:space="preserve">implying an </w:t>
      </w:r>
      <w:proofErr w:type="gramStart"/>
      <w:r w:rsidR="00C81C61">
        <w:t>efficiency  of</w:t>
      </w:r>
      <w:proofErr w:type="gramEnd"/>
      <w:r w:rsidR="00C81C61">
        <w:t xml:space="preserve"> 200/260 = 77%  for a single input stream, or 450/520 = 87% for dual input streams.</w:t>
      </w:r>
    </w:p>
    <w:p w:rsidR="00EC2444" w:rsidRDefault="00EC2444" w:rsidP="005B0D91">
      <w:pPr>
        <w:pStyle w:val="ListParagraph"/>
        <w:numPr>
          <w:ilvl w:val="0"/>
          <w:numId w:val="8"/>
        </w:numPr>
        <w:spacing w:before="120" w:after="0" w:line="240" w:lineRule="auto"/>
      </w:pPr>
      <w:r>
        <w:t>The rate from spool disk to LTO4 is 75 MB/s (600 Mb/s) during the period a file is being transferred.  The network plots average a minimum of 5 minutes, so display this active rate averaged with the</w:t>
      </w:r>
      <w:r w:rsidR="00D20E1C">
        <w:t xml:space="preserve"> inactive period between file transfers</w:t>
      </w:r>
      <w:r w:rsidR="00A1251E">
        <w:t xml:space="preserve">.  The network rates show </w:t>
      </w:r>
      <w:r>
        <w:t>200-400 Mb/s, implying an efficiency of 200/600 = 33% to 400/600 = 66%.</w:t>
      </w:r>
      <w:r w:rsidR="00955CC1">
        <w:t xml:space="preserve">  See the next bullet for an interpretation of these ranges.</w:t>
      </w:r>
    </w:p>
    <w:p w:rsidR="00C62E87" w:rsidRDefault="00D20E1C" w:rsidP="005B0D91">
      <w:pPr>
        <w:pStyle w:val="ListParagraph"/>
        <w:numPr>
          <w:ilvl w:val="0"/>
          <w:numId w:val="8"/>
        </w:numPr>
        <w:spacing w:before="120" w:after="0" w:line="240" w:lineRule="auto"/>
      </w:pPr>
      <w:r>
        <w:t>For a single instance of the migration application running on a migration station, the architecture allows for up to two input streams (LTO2 tapes) being read and spooled to separate  buffer disk volumes, and up to two output streams (LTO4 tapes) being written, where each stream is associated with a single file family.</w:t>
      </w:r>
      <w:r w:rsidR="00CC7909">
        <w:t xml:space="preserve">  The possibility of multiple streams explains what is observed in the network plots: two input streams, each maximally 33 MB/s, with the </w:t>
      </w:r>
      <w:r w:rsidR="00CC7909">
        <w:lastRenderedPageBreak/>
        <w:t xml:space="preserve">inefficiencies associated with file activity included produce the observed 5-minute average of ~450 Mb/s.  </w:t>
      </w:r>
      <w:r w:rsidR="00C62E87">
        <w:t>The interpretation of the output streams is more complicated: the output is essentially starved for data, hence any 5-minute or longer average is unlikely to show elevated rates.</w:t>
      </w:r>
    </w:p>
    <w:p w:rsidR="00C62E87" w:rsidRDefault="00C62E87" w:rsidP="00C62E87">
      <w:pPr>
        <w:spacing w:before="120" w:after="0" w:line="240" w:lineRule="auto"/>
      </w:pPr>
      <w:r w:rsidRPr="00C62E87">
        <w:rPr>
          <w:b/>
        </w:rPr>
        <w:t>Recommendations</w:t>
      </w:r>
      <w:r>
        <w:rPr>
          <w:b/>
        </w:rPr>
        <w:t>:</w:t>
      </w:r>
    </w:p>
    <w:p w:rsidR="00955CC1" w:rsidRDefault="00CC7909" w:rsidP="005B0D91">
      <w:pPr>
        <w:pStyle w:val="ListParagraph"/>
        <w:numPr>
          <w:ilvl w:val="0"/>
          <w:numId w:val="8"/>
        </w:numPr>
        <w:spacing w:before="120" w:after="0" w:line="240" w:lineRule="auto"/>
      </w:pPr>
      <w:r>
        <w:t xml:space="preserve"> </w:t>
      </w:r>
      <w:r w:rsidR="00C62E87">
        <w:t>At least during the 1-week period studied, the migration stations are not being kept active.  Using an eyeball estimate of the efficiency of operation by noting the “duty factor” seen in the network plots, the station utilization is:</w:t>
      </w:r>
    </w:p>
    <w:tbl>
      <w:tblPr>
        <w:tblStyle w:val="TableGrid"/>
        <w:tblW w:w="0" w:type="auto"/>
        <w:jc w:val="center"/>
        <w:tblLook w:val="04A0"/>
      </w:tblPr>
      <w:tblGrid>
        <w:gridCol w:w="1440"/>
        <w:gridCol w:w="1440"/>
      </w:tblGrid>
      <w:tr w:rsidR="00C62E87" w:rsidTr="00C62E87">
        <w:trPr>
          <w:jc w:val="center"/>
        </w:trPr>
        <w:tc>
          <w:tcPr>
            <w:tcW w:w="1440" w:type="dxa"/>
          </w:tcPr>
          <w:p w:rsidR="00C62E87" w:rsidRPr="0063705C" w:rsidRDefault="00C62E87" w:rsidP="00C62E87">
            <w:pPr>
              <w:spacing w:before="120"/>
              <w:rPr>
                <w:b/>
              </w:rPr>
            </w:pPr>
            <w:r w:rsidRPr="0063705C">
              <w:rPr>
                <w:b/>
              </w:rPr>
              <w:t>Station</w:t>
            </w:r>
          </w:p>
        </w:tc>
        <w:tc>
          <w:tcPr>
            <w:tcW w:w="1440" w:type="dxa"/>
          </w:tcPr>
          <w:p w:rsidR="00C62E87" w:rsidRPr="0063705C" w:rsidRDefault="00C62E87" w:rsidP="00C62E87">
            <w:pPr>
              <w:spacing w:before="120"/>
              <w:rPr>
                <w:b/>
              </w:rPr>
            </w:pPr>
            <w:r w:rsidRPr="0063705C">
              <w:rPr>
                <w:b/>
              </w:rPr>
              <w:t>Duty Factor</w:t>
            </w:r>
          </w:p>
        </w:tc>
      </w:tr>
      <w:tr w:rsidR="00C62E87" w:rsidTr="00C62E87">
        <w:trPr>
          <w:jc w:val="center"/>
        </w:trPr>
        <w:tc>
          <w:tcPr>
            <w:tcW w:w="1440" w:type="dxa"/>
          </w:tcPr>
          <w:p w:rsidR="00C62E87" w:rsidRDefault="00C62E87" w:rsidP="00C62E87">
            <w:pPr>
              <w:spacing w:before="120"/>
            </w:pPr>
            <w:r>
              <w:t>dm5</w:t>
            </w:r>
          </w:p>
        </w:tc>
        <w:tc>
          <w:tcPr>
            <w:tcW w:w="1440" w:type="dxa"/>
          </w:tcPr>
          <w:p w:rsidR="00C62E87" w:rsidRDefault="00C62E87" w:rsidP="00C62E87">
            <w:pPr>
              <w:spacing w:before="120"/>
            </w:pPr>
            <w:r>
              <w:t>0.0</w:t>
            </w:r>
          </w:p>
        </w:tc>
      </w:tr>
      <w:tr w:rsidR="00C62E87" w:rsidTr="00C62E87">
        <w:trPr>
          <w:jc w:val="center"/>
        </w:trPr>
        <w:tc>
          <w:tcPr>
            <w:tcW w:w="1440" w:type="dxa"/>
          </w:tcPr>
          <w:p w:rsidR="00C62E87" w:rsidRDefault="00C62E87" w:rsidP="00C62E87">
            <w:pPr>
              <w:spacing w:before="120"/>
            </w:pPr>
            <w:r>
              <w:t>dm6</w:t>
            </w:r>
          </w:p>
        </w:tc>
        <w:tc>
          <w:tcPr>
            <w:tcW w:w="1440" w:type="dxa"/>
          </w:tcPr>
          <w:p w:rsidR="00C62E87" w:rsidRDefault="00C62E87" w:rsidP="00C62E87">
            <w:pPr>
              <w:spacing w:before="120"/>
            </w:pPr>
            <w:r>
              <w:t>0.6</w:t>
            </w:r>
          </w:p>
        </w:tc>
      </w:tr>
      <w:tr w:rsidR="00C62E87" w:rsidTr="00C62E87">
        <w:trPr>
          <w:jc w:val="center"/>
        </w:trPr>
        <w:tc>
          <w:tcPr>
            <w:tcW w:w="1440" w:type="dxa"/>
          </w:tcPr>
          <w:p w:rsidR="00C62E87" w:rsidRDefault="00C62E87" w:rsidP="00C62E87">
            <w:pPr>
              <w:spacing w:before="120"/>
            </w:pPr>
            <w:r>
              <w:t>dm7</w:t>
            </w:r>
          </w:p>
        </w:tc>
        <w:tc>
          <w:tcPr>
            <w:tcW w:w="1440" w:type="dxa"/>
          </w:tcPr>
          <w:p w:rsidR="00C62E87" w:rsidRDefault="00C62E87" w:rsidP="00C62E87">
            <w:pPr>
              <w:spacing w:before="120"/>
            </w:pPr>
            <w:r>
              <w:t>0.6</w:t>
            </w:r>
          </w:p>
        </w:tc>
      </w:tr>
      <w:tr w:rsidR="00C62E87" w:rsidTr="00C62E87">
        <w:trPr>
          <w:jc w:val="center"/>
        </w:trPr>
        <w:tc>
          <w:tcPr>
            <w:tcW w:w="1440" w:type="dxa"/>
          </w:tcPr>
          <w:p w:rsidR="00C62E87" w:rsidRDefault="00C62E87" w:rsidP="00C62E87">
            <w:pPr>
              <w:spacing w:before="120"/>
            </w:pPr>
            <w:r>
              <w:t>dm8</w:t>
            </w:r>
          </w:p>
        </w:tc>
        <w:tc>
          <w:tcPr>
            <w:tcW w:w="1440" w:type="dxa"/>
          </w:tcPr>
          <w:p w:rsidR="00C62E87" w:rsidRDefault="00C62E87" w:rsidP="00C62E87">
            <w:pPr>
              <w:spacing w:before="120"/>
            </w:pPr>
            <w:r>
              <w:t>0.8</w:t>
            </w:r>
          </w:p>
        </w:tc>
      </w:tr>
      <w:tr w:rsidR="00C62E87" w:rsidTr="00C62E87">
        <w:trPr>
          <w:jc w:val="center"/>
        </w:trPr>
        <w:tc>
          <w:tcPr>
            <w:tcW w:w="1440" w:type="dxa"/>
          </w:tcPr>
          <w:p w:rsidR="00C62E87" w:rsidRDefault="00C62E87" w:rsidP="00C62E87">
            <w:pPr>
              <w:spacing w:before="120"/>
            </w:pPr>
            <w:r>
              <w:t>dm9</w:t>
            </w:r>
          </w:p>
        </w:tc>
        <w:tc>
          <w:tcPr>
            <w:tcW w:w="1440" w:type="dxa"/>
          </w:tcPr>
          <w:p w:rsidR="00C62E87" w:rsidRDefault="00C62E87" w:rsidP="00C62E87">
            <w:pPr>
              <w:spacing w:before="120"/>
            </w:pPr>
            <w:r>
              <w:t>(scanning)</w:t>
            </w:r>
          </w:p>
        </w:tc>
      </w:tr>
      <w:tr w:rsidR="00C62E87" w:rsidTr="00C62E87">
        <w:trPr>
          <w:jc w:val="center"/>
        </w:trPr>
        <w:tc>
          <w:tcPr>
            <w:tcW w:w="1440" w:type="dxa"/>
          </w:tcPr>
          <w:p w:rsidR="00C62E87" w:rsidRDefault="00C62E87" w:rsidP="00C62E87">
            <w:pPr>
              <w:spacing w:before="120"/>
            </w:pPr>
            <w:r>
              <w:t>dm10</w:t>
            </w:r>
          </w:p>
        </w:tc>
        <w:tc>
          <w:tcPr>
            <w:tcW w:w="1440" w:type="dxa"/>
          </w:tcPr>
          <w:p w:rsidR="00C62E87" w:rsidRDefault="00C62E87" w:rsidP="00C62E87">
            <w:pPr>
              <w:spacing w:before="120"/>
            </w:pPr>
            <w:r>
              <w:t>0.0</w:t>
            </w:r>
          </w:p>
        </w:tc>
      </w:tr>
      <w:tr w:rsidR="00C62E87" w:rsidTr="00C62E87">
        <w:trPr>
          <w:jc w:val="center"/>
        </w:trPr>
        <w:tc>
          <w:tcPr>
            <w:tcW w:w="1440" w:type="dxa"/>
          </w:tcPr>
          <w:p w:rsidR="00C62E87" w:rsidRDefault="00C62E87" w:rsidP="00C62E87">
            <w:pPr>
              <w:spacing w:before="120"/>
            </w:pPr>
            <w:r>
              <w:t>dm11</w:t>
            </w:r>
          </w:p>
        </w:tc>
        <w:tc>
          <w:tcPr>
            <w:tcW w:w="1440" w:type="dxa"/>
          </w:tcPr>
          <w:p w:rsidR="00C62E87" w:rsidRDefault="00C62E87" w:rsidP="00C62E87">
            <w:pPr>
              <w:spacing w:before="120"/>
            </w:pPr>
            <w:r>
              <w:t>0.0</w:t>
            </w:r>
          </w:p>
        </w:tc>
      </w:tr>
      <w:tr w:rsidR="00C62E87" w:rsidTr="00C62E87">
        <w:trPr>
          <w:jc w:val="center"/>
        </w:trPr>
        <w:tc>
          <w:tcPr>
            <w:tcW w:w="1440" w:type="dxa"/>
          </w:tcPr>
          <w:p w:rsidR="00C62E87" w:rsidRDefault="00C62E87" w:rsidP="00C62E87">
            <w:pPr>
              <w:spacing w:before="120"/>
            </w:pPr>
            <w:r>
              <w:t>dm12</w:t>
            </w:r>
          </w:p>
        </w:tc>
        <w:tc>
          <w:tcPr>
            <w:tcW w:w="1440" w:type="dxa"/>
          </w:tcPr>
          <w:p w:rsidR="00C62E87" w:rsidRDefault="00C62E87" w:rsidP="00C62E87">
            <w:pPr>
              <w:spacing w:before="120"/>
            </w:pPr>
            <w:r>
              <w:t>0.4</w:t>
            </w:r>
          </w:p>
        </w:tc>
      </w:tr>
      <w:tr w:rsidR="00C62E87" w:rsidTr="00C62E87">
        <w:trPr>
          <w:jc w:val="center"/>
        </w:trPr>
        <w:tc>
          <w:tcPr>
            <w:tcW w:w="1440" w:type="dxa"/>
          </w:tcPr>
          <w:p w:rsidR="00C62E87" w:rsidRPr="0063705C" w:rsidRDefault="00C62E87" w:rsidP="00C62E87">
            <w:pPr>
              <w:spacing w:before="120"/>
              <w:rPr>
                <w:b/>
              </w:rPr>
            </w:pPr>
            <w:r w:rsidRPr="0063705C">
              <w:rPr>
                <w:b/>
              </w:rPr>
              <w:t>Total</w:t>
            </w:r>
          </w:p>
        </w:tc>
        <w:tc>
          <w:tcPr>
            <w:tcW w:w="1440" w:type="dxa"/>
          </w:tcPr>
          <w:p w:rsidR="00C62E87" w:rsidRPr="0063705C" w:rsidRDefault="00C62E87" w:rsidP="00C62E87">
            <w:pPr>
              <w:spacing w:before="120"/>
              <w:rPr>
                <w:b/>
              </w:rPr>
            </w:pPr>
            <w:r w:rsidRPr="0063705C">
              <w:rPr>
                <w:b/>
              </w:rPr>
              <w:t>2.4</w:t>
            </w:r>
          </w:p>
        </w:tc>
      </w:tr>
    </w:tbl>
    <w:p w:rsidR="00C62E87" w:rsidRDefault="0063705C" w:rsidP="0063705C">
      <w:pPr>
        <w:spacing w:before="120" w:after="0" w:line="240" w:lineRule="auto"/>
        <w:ind w:left="720"/>
      </w:pPr>
      <w:r>
        <w:t>The existing migration station utilization should be easily improved by keeping more jobs queued.</w:t>
      </w:r>
    </w:p>
    <w:p w:rsidR="004E44AC" w:rsidRDefault="004E44AC" w:rsidP="004E44AC">
      <w:pPr>
        <w:spacing w:before="120" w:after="0" w:line="240" w:lineRule="auto"/>
        <w:ind w:left="720"/>
      </w:pPr>
      <w:r>
        <w:t xml:space="preserve">It is possible to perform a rough calculation for overall throughput using values observed during this study.  An active single input stream reads tape at 33 MB/s.  Using the </w:t>
      </w:r>
      <w:proofErr w:type="gramStart"/>
      <w:r>
        <w:t>net  duty</w:t>
      </w:r>
      <w:proofErr w:type="gramEnd"/>
      <w:r>
        <w:t xml:space="preserve"> factor of 2.4 from above, this gives an aggregate rate of 2.4 * 33 MB/s = 80 MB/s, equivalent to 12.5 seconds per GB.  Thus 1 PB of data requires 4.8 months to migrate.</w:t>
      </w:r>
    </w:p>
    <w:p w:rsidR="009F5632" w:rsidRDefault="009F5632" w:rsidP="0063705C">
      <w:pPr>
        <w:pStyle w:val="ListParagraph"/>
        <w:numPr>
          <w:ilvl w:val="0"/>
          <w:numId w:val="8"/>
        </w:numPr>
        <w:spacing w:before="120" w:after="0" w:line="240" w:lineRule="auto"/>
      </w:pPr>
      <w:r>
        <w:t>The process seems to be starved for data, with the input from the (possibly multiple) read of the LTO2 and spooling to buffer disk not supplying data at a rate to keep the output stream to the LTO4 busy.  There is sufficient pool disk space to buffer a considerably larger amount of data.  We should conside</w:t>
      </w:r>
      <w:r w:rsidR="004E44AC">
        <w:t xml:space="preserve">r increasing the ratio of input to </w:t>
      </w:r>
      <w:r>
        <w:t>output drives from 2:1 to 3:1.</w:t>
      </w:r>
    </w:p>
    <w:p w:rsidR="009F5632" w:rsidRDefault="009F5632" w:rsidP="0063705C">
      <w:pPr>
        <w:pStyle w:val="ListParagraph"/>
        <w:numPr>
          <w:ilvl w:val="0"/>
          <w:numId w:val="8"/>
        </w:numPr>
        <w:spacing w:before="120" w:after="0" w:line="240" w:lineRule="auto"/>
      </w:pPr>
      <w:r>
        <w:t>If the process is no longer starved for input data, then the slowest point may become the process of writing to the output stream.  In this case, there is a need to reduce the inactive period between file writes to a minimum: the often observed ~10 seconds per file is too long.</w:t>
      </w:r>
    </w:p>
    <w:p w:rsidR="0063705C" w:rsidRDefault="0063705C" w:rsidP="0063705C">
      <w:pPr>
        <w:pStyle w:val="ListParagraph"/>
        <w:numPr>
          <w:ilvl w:val="0"/>
          <w:numId w:val="8"/>
        </w:numPr>
        <w:spacing w:before="120" w:after="0" w:line="240" w:lineRule="auto"/>
      </w:pPr>
      <w:r>
        <w:t xml:space="preserve">There is no evidence that running a single migration instance on a migration station is close to saturating any node, disk, or network resource.  We should test </w:t>
      </w:r>
      <w:proofErr w:type="gramStart"/>
      <w:r>
        <w:t>running  two</w:t>
      </w:r>
      <w:proofErr w:type="gramEnd"/>
      <w:r>
        <w:t xml:space="preserve"> instances on each station.  This may push the limit of disk I/O capability with greater read/write contention; this problem could be rectified with greater or better organized buffer disk resources.  Four simultaneous reads (2 per instance) at 33 MB/s each </w:t>
      </w:r>
      <w:proofErr w:type="gramStart"/>
      <w:r>
        <w:t>yields  ~</w:t>
      </w:r>
      <w:proofErr w:type="gramEnd"/>
      <w:r>
        <w:t xml:space="preserve">1 </w:t>
      </w:r>
      <w:proofErr w:type="spellStart"/>
      <w:r>
        <w:t>Gb</w:t>
      </w:r>
      <w:proofErr w:type="spellEnd"/>
      <w:r>
        <w:t xml:space="preserve">/s into the station, which is within the capability of the bonded pair of </w:t>
      </w:r>
      <w:proofErr w:type="spellStart"/>
      <w:r>
        <w:t>Gb</w:t>
      </w:r>
      <w:proofErr w:type="spellEnd"/>
      <w:r>
        <w:t xml:space="preserve"> NICs.  Four simultaneous writes (2 per instance, but unlikely) of 75 MB/s each totals 2.4 </w:t>
      </w:r>
      <w:proofErr w:type="spellStart"/>
      <w:r>
        <w:t>Gb</w:t>
      </w:r>
      <w:proofErr w:type="spellEnd"/>
      <w:r>
        <w:t>/s, e</w:t>
      </w:r>
      <w:r w:rsidR="009F5632">
        <w:t>xceeding the network capacity; if this situation was encountered then output would be restricted.</w:t>
      </w:r>
    </w:p>
    <w:sectPr w:rsidR="0063705C" w:rsidSect="00A331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31616"/>
    <w:multiLevelType w:val="hybridMultilevel"/>
    <w:tmpl w:val="F44EF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E792A"/>
    <w:multiLevelType w:val="hybridMultilevel"/>
    <w:tmpl w:val="4202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1289B"/>
    <w:multiLevelType w:val="hybridMultilevel"/>
    <w:tmpl w:val="F79C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601A2"/>
    <w:multiLevelType w:val="hybridMultilevel"/>
    <w:tmpl w:val="44D8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4F322C"/>
    <w:multiLevelType w:val="hybridMultilevel"/>
    <w:tmpl w:val="21A2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830E61"/>
    <w:multiLevelType w:val="hybridMultilevel"/>
    <w:tmpl w:val="66A6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DA774D"/>
    <w:multiLevelType w:val="hybridMultilevel"/>
    <w:tmpl w:val="11D8D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E46BF7"/>
    <w:multiLevelType w:val="hybridMultilevel"/>
    <w:tmpl w:val="72A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6"/>
  <w:proofState w:spelling="clean" w:grammar="clean"/>
  <w:defaultTabStop w:val="720"/>
  <w:characterSpacingControl w:val="doNotCompress"/>
  <w:compat/>
  <w:rsids>
    <w:rsidRoot w:val="00583B01"/>
    <w:rsid w:val="000276E6"/>
    <w:rsid w:val="00136123"/>
    <w:rsid w:val="00187619"/>
    <w:rsid w:val="001C35AC"/>
    <w:rsid w:val="00277296"/>
    <w:rsid w:val="00295623"/>
    <w:rsid w:val="004E44AC"/>
    <w:rsid w:val="00524030"/>
    <w:rsid w:val="00541DC2"/>
    <w:rsid w:val="00583B01"/>
    <w:rsid w:val="005B0D91"/>
    <w:rsid w:val="005F50ED"/>
    <w:rsid w:val="0063705C"/>
    <w:rsid w:val="007A35F8"/>
    <w:rsid w:val="007A58EE"/>
    <w:rsid w:val="0093582D"/>
    <w:rsid w:val="00955CC1"/>
    <w:rsid w:val="009847CD"/>
    <w:rsid w:val="009F5632"/>
    <w:rsid w:val="00A1251E"/>
    <w:rsid w:val="00A3319C"/>
    <w:rsid w:val="00A37D5E"/>
    <w:rsid w:val="00A437CA"/>
    <w:rsid w:val="00C06A9E"/>
    <w:rsid w:val="00C411A1"/>
    <w:rsid w:val="00C62E87"/>
    <w:rsid w:val="00C74CA3"/>
    <w:rsid w:val="00C81C61"/>
    <w:rsid w:val="00CC7909"/>
    <w:rsid w:val="00D20E1C"/>
    <w:rsid w:val="00D62F3D"/>
    <w:rsid w:val="00DD6C7F"/>
    <w:rsid w:val="00DE2A4F"/>
    <w:rsid w:val="00DE7321"/>
    <w:rsid w:val="00E53A96"/>
    <w:rsid w:val="00E6345E"/>
    <w:rsid w:val="00E7128E"/>
    <w:rsid w:val="00EC2444"/>
    <w:rsid w:val="00F554C9"/>
    <w:rsid w:val="00FC4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1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6E6"/>
    <w:rPr>
      <w:color w:val="0000FF" w:themeColor="hyperlink"/>
      <w:u w:val="single"/>
    </w:rPr>
  </w:style>
  <w:style w:type="paragraph" w:styleId="BalloonText">
    <w:name w:val="Balloon Text"/>
    <w:basedOn w:val="Normal"/>
    <w:link w:val="BalloonTextChar"/>
    <w:uiPriority w:val="99"/>
    <w:semiHidden/>
    <w:unhideWhenUsed/>
    <w:rsid w:val="0002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6E6"/>
    <w:rPr>
      <w:rFonts w:ascii="Tahoma" w:hAnsi="Tahoma" w:cs="Tahoma"/>
      <w:sz w:val="16"/>
      <w:szCs w:val="16"/>
    </w:rPr>
  </w:style>
  <w:style w:type="paragraph" w:styleId="ListParagraph">
    <w:name w:val="List Paragraph"/>
    <w:basedOn w:val="Normal"/>
    <w:uiPriority w:val="34"/>
    <w:qFormat/>
    <w:rsid w:val="00187619"/>
    <w:pPr>
      <w:ind w:left="720"/>
      <w:contextualSpacing/>
    </w:pPr>
  </w:style>
  <w:style w:type="table" w:styleId="TableGrid">
    <w:name w:val="Table Grid"/>
    <w:basedOn w:val="TableNormal"/>
    <w:uiPriority w:val="59"/>
    <w:rsid w:val="00C62E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cn.fnal.gov/~netadmin/m-s-fcc-mrtg/cgi/mrtg-rrd.fcgi/r-s-fcc2-server/r-s-fcc2-server_po15.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dcn.fnal.gov/~netadmin/m-s-fcc-mrtg/cgi/mrtg-rrd.fcgi/r-s-fcc2-server/r-s-fcc2-server_po12.html" TargetMode="External"/><Relationship Id="rId12" Type="http://schemas.openxmlformats.org/officeDocument/2006/relationships/image" Target="media/image4.png"/><Relationship Id="rId17" Type="http://schemas.openxmlformats.org/officeDocument/2006/relationships/hyperlink" Target="http://www-dcn.fnal.gov/~netadmin/m-s-fcc-mrtg/cgi/mrtg-rrd.fcgi/r-s-fcc2-server/r-s-fcc2-server_po17.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dcn.fnal.gov/~netadmin/m-s-fcc-mrtg/cgi/mrtg-rrd.fcgi/r-s-fcc2-server/r-s-fcc2-server_po14.html" TargetMode="External"/><Relationship Id="rId5" Type="http://schemas.openxmlformats.org/officeDocument/2006/relationships/hyperlink" Target="http://www-dcn.fnal.gov/~netadmin/m-s-fcc-mrtg/cgi/mrtg-rrd.fcgi/r-s-fcc2-server/r-s-fcc2-server_po11.html" TargetMode="External"/><Relationship Id="rId15" Type="http://schemas.openxmlformats.org/officeDocument/2006/relationships/hyperlink" Target="http://www-dcn.fnal.gov/~netadmin/m-s-fcc-mrtg/cgi/mrtg-rrd.fcgi/r-s-fcc2-server/r-s-fcc2-server_po16.html" TargetMode="External"/><Relationship Id="rId10" Type="http://schemas.openxmlformats.org/officeDocument/2006/relationships/image" Target="media/image3.png"/><Relationship Id="rId19" Type="http://schemas.openxmlformats.org/officeDocument/2006/relationships/hyperlink" Target="http://www-dcn.fnal.gov/~netadmin/m-s-fcc-mrtg/cgi/mrtg-rrd.fcgi/r-s-fcc2-server/r-s-fcc2-server_po18.html" TargetMode="External"/><Relationship Id="rId4" Type="http://schemas.openxmlformats.org/officeDocument/2006/relationships/webSettings" Target="webSettings.xml"/><Relationship Id="rId9" Type="http://schemas.openxmlformats.org/officeDocument/2006/relationships/hyperlink" Target="http://www-dcn.fnal.gov/~netadmin/m-s-fcc-mrtg/cgi/mrtg-rrd.fcgi/r-s-fcc2-server/r-s-fcc2-server_po13.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fuess</dc:creator>
  <cp:keywords/>
  <dc:description/>
  <cp:lastModifiedBy>fuess</cp:lastModifiedBy>
  <cp:revision>24</cp:revision>
  <dcterms:created xsi:type="dcterms:W3CDTF">2008-10-22T14:11:00Z</dcterms:created>
  <dcterms:modified xsi:type="dcterms:W3CDTF">2008-10-23T16:54:00Z</dcterms:modified>
</cp:coreProperties>
</file>