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E19" w:rsidRDefault="00D52E19">
      <w:pPr>
        <w:spacing w:line="240" w:lineRule="exact"/>
        <w:rPr>
          <w:vanish/>
          <w:sz w:val="24"/>
        </w:rPr>
      </w:pPr>
    </w:p>
    <w:p w:rsidR="00D52E19" w:rsidRDefault="00D52E19">
      <w:pPr>
        <w:framePr w:w="1944" w:h="1944" w:hRule="exact" w:hSpace="240" w:vSpace="240" w:wrap="auto" w:hAnchor="margin" w:x="7273" w:y="1"/>
        <w:pBdr>
          <w:top w:val="single" w:sz="6" w:space="0" w:color="FFFFFF"/>
          <w:left w:val="single" w:sz="6" w:space="0" w:color="FFFFFF"/>
          <w:bottom w:val="single" w:sz="6" w:space="0" w:color="FFFFFF"/>
          <w:right w:val="single" w:sz="6" w:space="0" w:color="FFFFFF"/>
        </w:pBdr>
        <w:rPr>
          <w:sz w:val="24"/>
        </w:rPr>
      </w:pPr>
    </w:p>
    <w:p w:rsidR="00D52E19" w:rsidRDefault="007E7B1F" w:rsidP="00FE03B7">
      <w:pPr>
        <w:framePr w:w="1944" w:h="1944" w:hRule="exact" w:hSpace="240" w:vSpace="240" w:wrap="auto" w:vAnchor="page" w:hAnchor="page" w:x="8827" w:y="1505"/>
        <w:pBdr>
          <w:top w:val="single" w:sz="6" w:space="0" w:color="FFFFFF"/>
          <w:left w:val="single" w:sz="6" w:space="0" w:color="FFFFFF"/>
          <w:bottom w:val="single" w:sz="6" w:space="0" w:color="FFFFFF"/>
          <w:right w:val="single" w:sz="6" w:space="0" w:color="FFFFFF"/>
        </w:pBdr>
        <w:rPr>
          <w:sz w:val="24"/>
        </w:rPr>
      </w:pPr>
      <w:r>
        <w:rPr>
          <w:noProof/>
        </w:rPr>
        <w:drawing>
          <wp:inline distT="0" distB="0" distL="0" distR="0">
            <wp:extent cx="1233170" cy="1233170"/>
            <wp:effectExtent l="19050" t="0" r="5080" b="0"/>
            <wp:docPr id="1" name="Picture 1" descr="do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i_cmyk"/>
                    <pic:cNvPicPr>
                      <a:picLocks noChangeAspect="1" noChangeArrowheads="1"/>
                    </pic:cNvPicPr>
                  </pic:nvPicPr>
                  <pic:blipFill>
                    <a:blip r:embed="rId8"/>
                    <a:srcRect/>
                    <a:stretch>
                      <a:fillRect/>
                    </a:stretch>
                  </pic:blipFill>
                  <pic:spPr bwMode="auto">
                    <a:xfrm>
                      <a:off x="0" y="0"/>
                      <a:ext cx="1233170" cy="1233170"/>
                    </a:xfrm>
                    <a:prstGeom prst="rect">
                      <a:avLst/>
                    </a:prstGeom>
                    <a:noFill/>
                    <a:ln w="9525">
                      <a:noFill/>
                      <a:miter lim="800000"/>
                      <a:headEnd/>
                      <a:tailEnd/>
                    </a:ln>
                  </pic:spPr>
                </pic:pic>
              </a:graphicData>
            </a:graphic>
          </wp:inline>
        </w:drawing>
      </w:r>
    </w:p>
    <w:p w:rsidR="00FE03B7" w:rsidRDefault="007E7B1F" w:rsidP="00FE03B7">
      <w:pPr>
        <w:framePr w:w="2197" w:h="2045" w:hRule="exact" w:hSpace="90" w:vSpace="90" w:wrap="auto" w:vAnchor="page" w:hAnchor="page" w:x="1027" w:y="1625"/>
        <w:pBdr>
          <w:top w:val="single" w:sz="6" w:space="0" w:color="FFFFFF"/>
          <w:left w:val="single" w:sz="6" w:space="0" w:color="FFFFFF"/>
          <w:bottom w:val="single" w:sz="6" w:space="0" w:color="FFFFFF"/>
          <w:right w:val="single" w:sz="6" w:space="0" w:color="FFFFFF"/>
        </w:pBdr>
        <w:rPr>
          <w:sz w:val="24"/>
        </w:rPr>
      </w:pPr>
      <w:r>
        <w:rPr>
          <w:noProof/>
          <w:sz w:val="24"/>
        </w:rPr>
        <w:drawing>
          <wp:inline distT="0" distB="0" distL="0" distR="0">
            <wp:extent cx="1343660" cy="1198245"/>
            <wp:effectExtent l="1905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l="-1472" t="-1460" r="-1472" b="-1460"/>
                    <a:stretch>
                      <a:fillRect/>
                    </a:stretch>
                  </pic:blipFill>
                  <pic:spPr bwMode="auto">
                    <a:xfrm>
                      <a:off x="0" y="0"/>
                      <a:ext cx="1343660" cy="1198245"/>
                    </a:xfrm>
                    <a:prstGeom prst="rect">
                      <a:avLst/>
                    </a:prstGeom>
                    <a:noFill/>
                    <a:ln w="9525">
                      <a:noFill/>
                      <a:miter lim="800000"/>
                      <a:headEnd/>
                      <a:tailEnd/>
                    </a:ln>
                  </pic:spPr>
                </pic:pic>
              </a:graphicData>
            </a:graphic>
          </wp:inline>
        </w:drawing>
      </w:r>
    </w:p>
    <w:p w:rsidR="00FE03B7" w:rsidRDefault="00FE03B7" w:rsidP="00FE03B7">
      <w:pPr>
        <w:framePr w:w="2197" w:h="2045" w:hRule="exact" w:hSpace="90" w:vSpace="90" w:wrap="auto" w:vAnchor="page" w:hAnchor="page" w:x="1027" w:y="1625"/>
      </w:pPr>
    </w:p>
    <w:p w:rsidR="00FE03B7" w:rsidRDefault="00FE03B7" w:rsidP="00FE03B7">
      <w:pPr>
        <w:framePr w:w="2197" w:h="2045" w:hRule="exact" w:hSpace="90" w:vSpace="90" w:wrap="auto" w:vAnchor="page" w:hAnchor="page" w:x="1027" w:y="1625"/>
        <w:pBdr>
          <w:top w:val="single" w:sz="6" w:space="0" w:color="FFFFFF"/>
          <w:left w:val="single" w:sz="6" w:space="0" w:color="FFFFFF"/>
          <w:bottom w:val="single" w:sz="6" w:space="0" w:color="FFFFFF"/>
          <w:right w:val="single" w:sz="6" w:space="0" w:color="FFFFFF"/>
        </w:pBdr>
        <w:rPr>
          <w:rFonts w:ascii="Andale Mono" w:hAnsi="Andale Mono"/>
          <w:sz w:val="24"/>
        </w:rPr>
      </w:pPr>
      <w:r>
        <w:rPr>
          <w:sz w:val="24"/>
        </w:rPr>
        <w:t xml:space="preserve">          </w:t>
      </w:r>
    </w:p>
    <w:p w:rsidR="00D52E19" w:rsidRDefault="00D52E19">
      <w:pPr>
        <w:rPr>
          <w:rFonts w:ascii="Andale Mono" w:hAnsi="Andale Mono"/>
          <w:sz w:val="24"/>
        </w:rPr>
      </w:pPr>
    </w:p>
    <w:p w:rsidR="00D52E19" w:rsidRDefault="00D52E19">
      <w:pPr>
        <w:rPr>
          <w:rFonts w:ascii="Andale Mono" w:hAnsi="Andale Mono"/>
          <w:sz w:val="24"/>
        </w:rPr>
      </w:pPr>
    </w:p>
    <w:p w:rsidR="00D52E19" w:rsidRDefault="00D52E19">
      <w:pPr>
        <w:ind w:left="-198"/>
        <w:rPr>
          <w:rFonts w:ascii="CG Times" w:hAnsi="CG Times"/>
          <w:b/>
          <w:sz w:val="28"/>
        </w:rPr>
      </w:pPr>
    </w:p>
    <w:p w:rsidR="00FE03B7" w:rsidRDefault="00D52E19" w:rsidP="00624A5D">
      <w:pPr>
        <w:pStyle w:val="Heading2"/>
        <w:numPr>
          <w:ilvl w:val="0"/>
          <w:numId w:val="0"/>
        </w:numPr>
        <w:ind w:left="900"/>
      </w:pPr>
      <w:r>
        <w:t xml:space="preserve">UNITED STATES </w:t>
      </w:r>
    </w:p>
    <w:p w:rsidR="00017A09" w:rsidRDefault="002004CB" w:rsidP="002004CB">
      <w:pPr>
        <w:pStyle w:val="Heading2"/>
        <w:numPr>
          <w:ilvl w:val="0"/>
          <w:numId w:val="0"/>
        </w:numPr>
        <w:ind w:left="900"/>
        <w:rPr>
          <w:b w:val="0"/>
        </w:rPr>
      </w:pPr>
      <w:r>
        <w:t xml:space="preserve">DEPARTMENT OF THE </w:t>
      </w:r>
      <w:r w:rsidR="00D52E19">
        <w:t>INTERIOR</w:t>
      </w:r>
    </w:p>
    <w:p w:rsidR="00D52E19" w:rsidRDefault="003D6CFA" w:rsidP="002004CB">
      <w:pPr>
        <w:tabs>
          <w:tab w:val="center" w:pos="4221"/>
          <w:tab w:val="left" w:pos="4842"/>
          <w:tab w:val="left" w:pos="5562"/>
          <w:tab w:val="left" w:pos="6282"/>
          <w:tab w:val="left" w:pos="7002"/>
          <w:tab w:val="left" w:pos="7722"/>
          <w:tab w:val="left" w:pos="8442"/>
        </w:tabs>
        <w:ind w:left="-198"/>
        <w:jc w:val="center"/>
        <w:rPr>
          <w:rFonts w:ascii="CG Times" w:hAnsi="CG Times"/>
          <w:b/>
          <w:sz w:val="28"/>
        </w:rPr>
      </w:pPr>
      <w:r>
        <w:rPr>
          <w:rFonts w:ascii="CG Times" w:hAnsi="CG Times"/>
          <w:b/>
          <w:sz w:val="28"/>
        </w:rPr>
        <w:t>BUREAU OF LAND</w:t>
      </w:r>
      <w:r w:rsidR="00017A09">
        <w:rPr>
          <w:rFonts w:ascii="CG Times" w:hAnsi="CG Times"/>
          <w:b/>
          <w:sz w:val="28"/>
        </w:rPr>
        <w:t xml:space="preserve"> </w:t>
      </w:r>
      <w:r>
        <w:rPr>
          <w:rFonts w:ascii="CG Times" w:hAnsi="CG Times"/>
          <w:b/>
          <w:sz w:val="28"/>
        </w:rPr>
        <w:t>MANAGEMENT</w:t>
      </w:r>
    </w:p>
    <w:p w:rsidR="00D52E19" w:rsidRDefault="00D52E19">
      <w:pPr>
        <w:ind w:left="-288"/>
        <w:rPr>
          <w:rFonts w:ascii="CG Times" w:hAnsi="CG Times"/>
          <w:b/>
          <w:sz w:val="28"/>
        </w:rPr>
      </w:pPr>
    </w:p>
    <w:p w:rsidR="004A1F86" w:rsidRDefault="004A1F86" w:rsidP="004A1F86"/>
    <w:p w:rsidR="004A1F86" w:rsidRDefault="004A1F86" w:rsidP="004A1F86"/>
    <w:p w:rsidR="004A1F86" w:rsidRDefault="004A1F86" w:rsidP="004A1F86">
      <w:pPr>
        <w:jc w:val="center"/>
        <w:rPr>
          <w:b/>
          <w:sz w:val="32"/>
          <w:szCs w:val="32"/>
        </w:rPr>
      </w:pPr>
      <w:r w:rsidRPr="003A7E67">
        <w:rPr>
          <w:b/>
          <w:sz w:val="32"/>
          <w:szCs w:val="32"/>
        </w:rPr>
        <w:t>NOTICE OF INTENT TO AWARD</w:t>
      </w:r>
    </w:p>
    <w:p w:rsidR="004A1F86" w:rsidRDefault="004A1F86" w:rsidP="004A1F86">
      <w:pPr>
        <w:jc w:val="center"/>
        <w:rPr>
          <w:b/>
          <w:sz w:val="32"/>
          <w:szCs w:val="32"/>
        </w:rPr>
      </w:pPr>
    </w:p>
    <w:p w:rsidR="004A1F86" w:rsidRDefault="004A1F86" w:rsidP="004A1F86">
      <w:r>
        <w:t>This Funding Announcement is not a request for applications.  This announcement is to provide public notice of the Bureau of Land Management’s intention to fund the following project activities without full and open competition.</w:t>
      </w:r>
    </w:p>
    <w:p w:rsidR="004A1F86" w:rsidRDefault="004A1F86" w:rsidP="004A1F86"/>
    <w:p w:rsidR="004A1F86" w:rsidRDefault="004A1F86" w:rsidP="004A1F86"/>
    <w:tbl>
      <w:tblPr>
        <w:tblW w:w="5000" w:type="pct"/>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tblPr>
      <w:tblGrid>
        <w:gridCol w:w="2560"/>
        <w:gridCol w:w="8186"/>
      </w:tblGrid>
      <w:tr w:rsidR="004A1F86" w:rsidRPr="00683645" w:rsidTr="005946F2">
        <w:tc>
          <w:tcPr>
            <w:tcW w:w="5000" w:type="pct"/>
            <w:gridSpan w:val="2"/>
            <w:tcBorders>
              <w:top w:val="double" w:sz="4" w:space="0" w:color="auto"/>
              <w:bottom w:val="double" w:sz="4" w:space="0" w:color="auto"/>
            </w:tcBorders>
            <w:shd w:val="clear" w:color="auto" w:fill="CB9F5B"/>
          </w:tcPr>
          <w:p w:rsidR="004A1F86" w:rsidRPr="005946F2" w:rsidRDefault="004A1F86" w:rsidP="005946F2">
            <w:pPr>
              <w:jc w:val="center"/>
              <w:rPr>
                <w:b/>
                <w:sz w:val="28"/>
                <w:szCs w:val="28"/>
              </w:rPr>
            </w:pPr>
            <w:r w:rsidRPr="005946F2">
              <w:rPr>
                <w:b/>
                <w:sz w:val="28"/>
                <w:szCs w:val="28"/>
              </w:rPr>
              <w:t>ABSTRACT</w:t>
            </w:r>
          </w:p>
        </w:tc>
      </w:tr>
      <w:tr w:rsidR="004A1F86" w:rsidRPr="00683645" w:rsidTr="005946F2">
        <w:tc>
          <w:tcPr>
            <w:tcW w:w="1191" w:type="pct"/>
            <w:tcBorders>
              <w:top w:val="double" w:sz="4" w:space="0" w:color="auto"/>
            </w:tcBorders>
          </w:tcPr>
          <w:p w:rsidR="004A1F86" w:rsidRPr="005946F2" w:rsidRDefault="004A1F86" w:rsidP="00CB559F">
            <w:pPr>
              <w:rPr>
                <w:b/>
              </w:rPr>
            </w:pPr>
            <w:r w:rsidRPr="005946F2">
              <w:rPr>
                <w:b/>
              </w:rPr>
              <w:t>Funding Announcement</w:t>
            </w:r>
          </w:p>
        </w:tc>
        <w:tc>
          <w:tcPr>
            <w:tcW w:w="3809" w:type="pct"/>
            <w:tcBorders>
              <w:top w:val="double" w:sz="4" w:space="0" w:color="auto"/>
            </w:tcBorders>
            <w:vAlign w:val="center"/>
          </w:tcPr>
          <w:p w:rsidR="004A1F86" w:rsidRPr="00D04D8B" w:rsidRDefault="002004CB" w:rsidP="00CB559F">
            <w:r>
              <w:t>CA-NOI-08-0009</w:t>
            </w:r>
          </w:p>
        </w:tc>
      </w:tr>
      <w:tr w:rsidR="004A1F86" w:rsidRPr="00683645" w:rsidTr="005946F2">
        <w:tc>
          <w:tcPr>
            <w:tcW w:w="1191" w:type="pct"/>
          </w:tcPr>
          <w:p w:rsidR="004A1F86" w:rsidRPr="005946F2" w:rsidRDefault="004A1F86" w:rsidP="00CB559F">
            <w:pPr>
              <w:rPr>
                <w:b/>
              </w:rPr>
            </w:pPr>
            <w:r w:rsidRPr="005946F2">
              <w:rPr>
                <w:b/>
              </w:rPr>
              <w:t>Project Title</w:t>
            </w:r>
          </w:p>
        </w:tc>
        <w:tc>
          <w:tcPr>
            <w:tcW w:w="3809" w:type="pct"/>
          </w:tcPr>
          <w:p w:rsidR="004A1F86" w:rsidRPr="00D04D8B" w:rsidRDefault="005C6AB5" w:rsidP="00CB559F">
            <w:r>
              <w:t xml:space="preserve">CALIFORNIA BLM FIRE COMMUNITY PROTECTION/COMMUNITY ASSISTANCE </w:t>
            </w:r>
          </w:p>
        </w:tc>
      </w:tr>
      <w:tr w:rsidR="004A1F86" w:rsidRPr="00683645" w:rsidTr="005946F2">
        <w:tc>
          <w:tcPr>
            <w:tcW w:w="1191" w:type="pct"/>
          </w:tcPr>
          <w:p w:rsidR="004A1F86" w:rsidRPr="005946F2" w:rsidRDefault="004A1F86" w:rsidP="00CB559F">
            <w:pPr>
              <w:rPr>
                <w:b/>
              </w:rPr>
            </w:pPr>
            <w:r w:rsidRPr="005946F2">
              <w:rPr>
                <w:b/>
              </w:rPr>
              <w:t>Recipient</w:t>
            </w:r>
          </w:p>
        </w:tc>
        <w:tc>
          <w:tcPr>
            <w:tcW w:w="3809" w:type="pct"/>
          </w:tcPr>
          <w:p w:rsidR="004A1F86" w:rsidRPr="00D04D8B" w:rsidRDefault="005C6AB5" w:rsidP="00CB559F">
            <w:r>
              <w:t>California Fire Safe Council, Inc.</w:t>
            </w:r>
          </w:p>
        </w:tc>
      </w:tr>
      <w:tr w:rsidR="004A1F86" w:rsidRPr="00683645" w:rsidTr="005946F2">
        <w:tc>
          <w:tcPr>
            <w:tcW w:w="1191" w:type="pct"/>
          </w:tcPr>
          <w:p w:rsidR="004A1F86" w:rsidRPr="005946F2" w:rsidRDefault="004A1F86" w:rsidP="00CB559F">
            <w:pPr>
              <w:rPr>
                <w:b/>
              </w:rPr>
            </w:pPr>
            <w:r w:rsidRPr="005946F2">
              <w:rPr>
                <w:b/>
              </w:rPr>
              <w:t>Principle Investigator / Program Manager</w:t>
            </w:r>
          </w:p>
        </w:tc>
        <w:tc>
          <w:tcPr>
            <w:tcW w:w="3809" w:type="pct"/>
          </w:tcPr>
          <w:p w:rsidR="004A1F86" w:rsidRPr="00D04D8B" w:rsidRDefault="006F1A56" w:rsidP="00CB559F">
            <w:r>
              <w:t xml:space="preserve">Jane Arteaga, </w:t>
            </w:r>
            <w:smartTag w:uri="urn:schemas-microsoft-com:office:smarttags" w:element="place">
              <w:smartTag w:uri="urn:schemas-microsoft-com:office:smarttags" w:element="PlaceName">
                <w:r>
                  <w:t>California</w:t>
                </w:r>
              </w:smartTag>
              <w:r>
                <w:t xml:space="preserve"> </w:t>
              </w:r>
              <w:smartTag w:uri="urn:schemas-microsoft-com:office:smarttags" w:element="PlaceType">
                <w:r>
                  <w:t>State</w:t>
                </w:r>
              </w:smartTag>
            </w:smartTag>
            <w:r>
              <w:t xml:space="preserve"> Fire Mitigation and Education Specialist.</w:t>
            </w:r>
          </w:p>
        </w:tc>
      </w:tr>
      <w:tr w:rsidR="004A1F86" w:rsidRPr="00683645" w:rsidTr="005946F2">
        <w:tc>
          <w:tcPr>
            <w:tcW w:w="1191" w:type="pct"/>
          </w:tcPr>
          <w:p w:rsidR="004A1F86" w:rsidRPr="005946F2" w:rsidRDefault="004A1F86" w:rsidP="00CB559F">
            <w:pPr>
              <w:rPr>
                <w:b/>
              </w:rPr>
            </w:pPr>
            <w:r w:rsidRPr="005946F2">
              <w:rPr>
                <w:b/>
              </w:rPr>
              <w:t>Total Anticipated Award Amount</w:t>
            </w:r>
          </w:p>
        </w:tc>
        <w:tc>
          <w:tcPr>
            <w:tcW w:w="3809" w:type="pct"/>
            <w:vAlign w:val="center"/>
          </w:tcPr>
          <w:p w:rsidR="004A1F86" w:rsidRPr="005946F2" w:rsidRDefault="008B7122" w:rsidP="005946F2">
            <w:pPr>
              <w:tabs>
                <w:tab w:val="center" w:pos="5040"/>
              </w:tabs>
              <w:rPr>
                <w:sz w:val="24"/>
              </w:rPr>
            </w:pPr>
            <w:r w:rsidRPr="005946F2">
              <w:rPr>
                <w:sz w:val="24"/>
              </w:rPr>
              <w:t>Approximately $15 million over the life of the agreement.</w:t>
            </w:r>
          </w:p>
        </w:tc>
      </w:tr>
      <w:tr w:rsidR="004A1F86" w:rsidRPr="00683645" w:rsidTr="005946F2">
        <w:trPr>
          <w:trHeight w:val="377"/>
        </w:trPr>
        <w:tc>
          <w:tcPr>
            <w:tcW w:w="1191" w:type="pct"/>
            <w:vAlign w:val="center"/>
          </w:tcPr>
          <w:p w:rsidR="004A1F86" w:rsidRPr="005946F2" w:rsidRDefault="004A1F86" w:rsidP="00CB559F">
            <w:pPr>
              <w:rPr>
                <w:b/>
              </w:rPr>
            </w:pPr>
            <w:r w:rsidRPr="005946F2">
              <w:rPr>
                <w:b/>
              </w:rPr>
              <w:t>Cost Share</w:t>
            </w:r>
          </w:p>
        </w:tc>
        <w:tc>
          <w:tcPr>
            <w:tcW w:w="3809" w:type="pct"/>
            <w:vAlign w:val="center"/>
          </w:tcPr>
          <w:p w:rsidR="004A1F86" w:rsidRPr="00D04D8B" w:rsidRDefault="008B7122" w:rsidP="008B7122">
            <w:r>
              <w:t>10</w:t>
            </w:r>
            <w:r w:rsidR="001B0593">
              <w:t>%</w:t>
            </w:r>
          </w:p>
        </w:tc>
      </w:tr>
      <w:tr w:rsidR="004A1F86" w:rsidRPr="00683645" w:rsidTr="005946F2">
        <w:tc>
          <w:tcPr>
            <w:tcW w:w="1191" w:type="pct"/>
          </w:tcPr>
          <w:p w:rsidR="004A1F86" w:rsidRPr="005946F2" w:rsidRDefault="004A1F86" w:rsidP="00CB559F">
            <w:pPr>
              <w:rPr>
                <w:b/>
              </w:rPr>
            </w:pPr>
            <w:r w:rsidRPr="005946F2">
              <w:rPr>
                <w:b/>
              </w:rPr>
              <w:t>New Award or Continuation?</w:t>
            </w:r>
          </w:p>
        </w:tc>
        <w:tc>
          <w:tcPr>
            <w:tcW w:w="3809" w:type="pct"/>
            <w:vAlign w:val="center"/>
          </w:tcPr>
          <w:p w:rsidR="004A1F86" w:rsidRPr="00D04D8B" w:rsidRDefault="008B7122" w:rsidP="00CB559F">
            <w:r>
              <w:t>Continuation</w:t>
            </w:r>
          </w:p>
        </w:tc>
      </w:tr>
      <w:tr w:rsidR="004A1F86" w:rsidRPr="00683645" w:rsidTr="005946F2">
        <w:tc>
          <w:tcPr>
            <w:tcW w:w="1191" w:type="pct"/>
          </w:tcPr>
          <w:p w:rsidR="004A1F86" w:rsidRPr="005946F2" w:rsidRDefault="004A1F86" w:rsidP="00CB559F">
            <w:pPr>
              <w:rPr>
                <w:b/>
              </w:rPr>
            </w:pPr>
            <w:r w:rsidRPr="005946F2">
              <w:rPr>
                <w:b/>
              </w:rPr>
              <w:t>Anticipated Length of Agreement</w:t>
            </w:r>
          </w:p>
        </w:tc>
        <w:tc>
          <w:tcPr>
            <w:tcW w:w="3809" w:type="pct"/>
            <w:vAlign w:val="center"/>
          </w:tcPr>
          <w:p w:rsidR="004A1F86" w:rsidRPr="00D04D8B" w:rsidRDefault="006F1A56" w:rsidP="00CB559F">
            <w:r>
              <w:t>5 years</w:t>
            </w:r>
          </w:p>
        </w:tc>
      </w:tr>
      <w:tr w:rsidR="004A1F86" w:rsidRPr="00683645" w:rsidTr="005946F2">
        <w:tc>
          <w:tcPr>
            <w:tcW w:w="1191" w:type="pct"/>
          </w:tcPr>
          <w:p w:rsidR="004A1F86" w:rsidRPr="005946F2" w:rsidRDefault="004A1F86" w:rsidP="00CB559F">
            <w:pPr>
              <w:rPr>
                <w:b/>
              </w:rPr>
            </w:pPr>
            <w:r w:rsidRPr="005946F2">
              <w:rPr>
                <w:b/>
              </w:rPr>
              <w:t>Anticipated Period of Performance</w:t>
            </w:r>
          </w:p>
        </w:tc>
        <w:tc>
          <w:tcPr>
            <w:tcW w:w="3809" w:type="pct"/>
            <w:vAlign w:val="center"/>
          </w:tcPr>
          <w:p w:rsidR="004A1F86" w:rsidRPr="00D04D8B" w:rsidRDefault="008B7122" w:rsidP="00CB559F">
            <w:r>
              <w:t>October 1</w:t>
            </w:r>
            <w:r w:rsidRPr="005946F2">
              <w:rPr>
                <w:vertAlign w:val="superscript"/>
              </w:rPr>
              <w:t>st</w:t>
            </w:r>
            <w:r>
              <w:t xml:space="preserve"> to September 30</w:t>
            </w:r>
            <w:r w:rsidRPr="005946F2">
              <w:rPr>
                <w:vertAlign w:val="superscript"/>
              </w:rPr>
              <w:t>th</w:t>
            </w:r>
            <w:r>
              <w:t xml:space="preserve"> </w:t>
            </w:r>
            <w:r w:rsidR="00A35D8A">
              <w:t>Yearly</w:t>
            </w:r>
          </w:p>
        </w:tc>
      </w:tr>
      <w:tr w:rsidR="004A1F86" w:rsidRPr="00683645" w:rsidTr="005946F2">
        <w:tc>
          <w:tcPr>
            <w:tcW w:w="1191" w:type="pct"/>
          </w:tcPr>
          <w:p w:rsidR="004A1F86" w:rsidRPr="005946F2" w:rsidRDefault="004A1F86" w:rsidP="00CB559F">
            <w:pPr>
              <w:rPr>
                <w:b/>
              </w:rPr>
            </w:pPr>
            <w:r w:rsidRPr="005946F2">
              <w:rPr>
                <w:b/>
              </w:rPr>
              <w:t>Award Instrument</w:t>
            </w:r>
          </w:p>
        </w:tc>
        <w:tc>
          <w:tcPr>
            <w:tcW w:w="3809" w:type="pct"/>
          </w:tcPr>
          <w:p w:rsidR="004A1F86" w:rsidRPr="00D04D8B" w:rsidRDefault="00A35D8A" w:rsidP="00CB559F">
            <w:r>
              <w:t>Cooperative Agreement</w:t>
            </w:r>
          </w:p>
        </w:tc>
      </w:tr>
      <w:tr w:rsidR="004A1F86" w:rsidRPr="00683645" w:rsidTr="005946F2">
        <w:tc>
          <w:tcPr>
            <w:tcW w:w="1191" w:type="pct"/>
          </w:tcPr>
          <w:p w:rsidR="004A1F86" w:rsidRPr="005946F2" w:rsidRDefault="004A1F86" w:rsidP="00CB559F">
            <w:pPr>
              <w:rPr>
                <w:b/>
              </w:rPr>
            </w:pPr>
            <w:r w:rsidRPr="005946F2">
              <w:rPr>
                <w:b/>
              </w:rPr>
              <w:t>Statutory Authority</w:t>
            </w:r>
          </w:p>
        </w:tc>
        <w:tc>
          <w:tcPr>
            <w:tcW w:w="3809" w:type="pct"/>
          </w:tcPr>
          <w:p w:rsidR="004A1F86" w:rsidRPr="005946F2" w:rsidRDefault="00A35D8A" w:rsidP="00CB559F">
            <w:pPr>
              <w:rPr>
                <w:szCs w:val="20"/>
              </w:rPr>
            </w:pPr>
            <w:r w:rsidRPr="005946F2">
              <w:rPr>
                <w:szCs w:val="20"/>
              </w:rPr>
              <w:t>The Federal Land Policy and Management Act of 1976, as amended</w:t>
            </w:r>
            <w:r w:rsidR="002004CB" w:rsidRPr="005946F2">
              <w:rPr>
                <w:szCs w:val="20"/>
              </w:rPr>
              <w:t xml:space="preserve">.  </w:t>
            </w:r>
            <w:r w:rsidRPr="005946F2">
              <w:rPr>
                <w:szCs w:val="20"/>
              </w:rPr>
              <w:t>Public Law 94-579, Section 307 (b) states that the Secretary may enter into contracts and cooperative agreements for the management, protection, development, and sale of public lands.</w:t>
            </w:r>
          </w:p>
        </w:tc>
      </w:tr>
      <w:tr w:rsidR="004A1F86" w:rsidRPr="00683645" w:rsidTr="005946F2">
        <w:tc>
          <w:tcPr>
            <w:tcW w:w="1191" w:type="pct"/>
          </w:tcPr>
          <w:p w:rsidR="004A1F86" w:rsidRPr="005946F2" w:rsidRDefault="004A1F86" w:rsidP="00CB559F">
            <w:pPr>
              <w:rPr>
                <w:b/>
              </w:rPr>
            </w:pPr>
            <w:r w:rsidRPr="005946F2">
              <w:rPr>
                <w:b/>
              </w:rPr>
              <w:t>CFDA # and Title</w:t>
            </w:r>
          </w:p>
        </w:tc>
        <w:tc>
          <w:tcPr>
            <w:tcW w:w="3809" w:type="pct"/>
          </w:tcPr>
          <w:p w:rsidR="004A1F86" w:rsidRPr="00D04D8B" w:rsidRDefault="00A35D8A" w:rsidP="00CB559F">
            <w:r>
              <w:t>15.228 Wildland Urban Interface Community Assistance</w:t>
            </w:r>
          </w:p>
        </w:tc>
      </w:tr>
      <w:tr w:rsidR="004A1F86" w:rsidRPr="00683645" w:rsidTr="005946F2">
        <w:tc>
          <w:tcPr>
            <w:tcW w:w="1191" w:type="pct"/>
          </w:tcPr>
          <w:p w:rsidR="004A1F86" w:rsidRPr="005946F2" w:rsidRDefault="004A1F86" w:rsidP="00CB559F">
            <w:pPr>
              <w:rPr>
                <w:b/>
              </w:rPr>
            </w:pPr>
            <w:r w:rsidRPr="005946F2">
              <w:rPr>
                <w:b/>
              </w:rPr>
              <w:t>Single Source Justification Criteria Cited</w:t>
            </w:r>
          </w:p>
        </w:tc>
        <w:tc>
          <w:tcPr>
            <w:tcW w:w="3809" w:type="pct"/>
          </w:tcPr>
          <w:p w:rsidR="005620F1" w:rsidRDefault="005620F1" w:rsidP="005946F2">
            <w:pPr>
              <w:widowControl/>
              <w:tabs>
                <w:tab w:val="left" w:pos="320"/>
              </w:tabs>
              <w:autoSpaceDE/>
              <w:autoSpaceDN/>
              <w:adjustRightInd/>
              <w:ind w:left="1040" w:hanging="360"/>
            </w:pPr>
            <w:r>
              <w:t>#4   Unique Qualifications – The applicant is uniquely qualified to perform the activity based upon a variety of demonstrable factors such as location, property ownership, voluntary support capacity, cost-sharing ability if applicable, technical expertise, or other such unique qualifications;</w:t>
            </w:r>
          </w:p>
          <w:p w:rsidR="004A1F86" w:rsidRPr="00D04D8B" w:rsidRDefault="004A1F86" w:rsidP="00CB559F"/>
        </w:tc>
      </w:tr>
      <w:tr w:rsidR="004A1F86" w:rsidRPr="00683645" w:rsidTr="005946F2">
        <w:tc>
          <w:tcPr>
            <w:tcW w:w="1191" w:type="pct"/>
          </w:tcPr>
          <w:p w:rsidR="004A1F86" w:rsidRPr="005946F2" w:rsidRDefault="004A1F86" w:rsidP="00CB559F">
            <w:pPr>
              <w:rPr>
                <w:b/>
              </w:rPr>
            </w:pPr>
            <w:r w:rsidRPr="005946F2">
              <w:rPr>
                <w:b/>
              </w:rPr>
              <w:t>BLM  Point of Contact</w:t>
            </w:r>
          </w:p>
        </w:tc>
        <w:tc>
          <w:tcPr>
            <w:tcW w:w="3809" w:type="pct"/>
            <w:vAlign w:val="center"/>
          </w:tcPr>
          <w:p w:rsidR="004A1F86" w:rsidRPr="00D04D8B" w:rsidRDefault="005620F1" w:rsidP="00CB559F">
            <w:r>
              <w:t xml:space="preserve">Jane Arteaga, </w:t>
            </w:r>
            <w:hyperlink r:id="rId10" w:history="1">
              <w:r w:rsidRPr="004061AE">
                <w:rPr>
                  <w:rStyle w:val="Hyperlink"/>
                </w:rPr>
                <w:t>jarteaga@ca.blm.gov</w:t>
              </w:r>
            </w:hyperlink>
            <w:r>
              <w:t>, Phone Number  916-978-4436</w:t>
            </w:r>
          </w:p>
        </w:tc>
      </w:tr>
    </w:tbl>
    <w:p w:rsidR="004A1F86" w:rsidRDefault="004A1F86" w:rsidP="004A1F86"/>
    <w:p w:rsidR="004A1F86" w:rsidRDefault="004A1F86" w:rsidP="004A1F86"/>
    <w:p w:rsidR="004A1F86" w:rsidRDefault="004A1F86" w:rsidP="008B7122">
      <w:pPr>
        <w:jc w:val="center"/>
      </w:pPr>
      <w:r>
        <w:rPr>
          <w:b/>
        </w:rPr>
        <w:t>OVERVIEW</w:t>
      </w:r>
    </w:p>
    <w:p w:rsidR="008B7122" w:rsidRDefault="008B7122" w:rsidP="008B71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exact"/>
        <w:rPr>
          <w:sz w:val="24"/>
        </w:rPr>
      </w:pPr>
      <w:r w:rsidRPr="00861357">
        <w:rPr>
          <w:sz w:val="24"/>
        </w:rPr>
        <w:t>This agreement is made and entered into by the Department of the Interior, Bureau of Land Management, California State Office and the California Fire Safe Council, for the purpose of implementing the National Fire Plan for community assistance for protection from catastrophic wildland fires</w:t>
      </w:r>
      <w:r w:rsidR="001B0593" w:rsidRPr="00861357">
        <w:rPr>
          <w:sz w:val="24"/>
        </w:rPr>
        <w:t xml:space="preserve">.  </w:t>
      </w:r>
      <w:r w:rsidRPr="00861357">
        <w:rPr>
          <w:sz w:val="24"/>
        </w:rPr>
        <w:t xml:space="preserve">This collaborative effort </w:t>
      </w:r>
      <w:r w:rsidRPr="00861357">
        <w:rPr>
          <w:sz w:val="24"/>
        </w:rPr>
        <w:lastRenderedPageBreak/>
        <w:t>is a significant effort in implementing Community Protection/Community Assistance initiative through the appropriate operating principles of prevention through education, hazardous fuel reduction, collaborative stewardship, monitoring, creating jobs, and applied research</w:t>
      </w:r>
      <w:r w:rsidR="001B0593" w:rsidRPr="00861357">
        <w:rPr>
          <w:sz w:val="24"/>
        </w:rPr>
        <w:t xml:space="preserve">.  </w:t>
      </w:r>
      <w:r w:rsidRPr="00861357">
        <w:rPr>
          <w:sz w:val="24"/>
        </w:rPr>
        <w:t>This effort to protect communities at risk from wildfire will be accomplished through projects in four areas; community wildfire protection planning, prevention/education program, hazardous fuel removal, and applied research.</w:t>
      </w:r>
    </w:p>
    <w:p w:rsidR="001B0593" w:rsidRPr="00861357" w:rsidRDefault="001B0593" w:rsidP="008B71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exact"/>
        <w:rPr>
          <w:sz w:val="24"/>
        </w:rPr>
      </w:pPr>
    </w:p>
    <w:p w:rsidR="004A1F86" w:rsidRPr="002004CB" w:rsidRDefault="004A1F86" w:rsidP="004A1F86">
      <w:pPr>
        <w:jc w:val="center"/>
        <w:rPr>
          <w:b/>
          <w:sz w:val="24"/>
        </w:rPr>
      </w:pPr>
      <w:r w:rsidRPr="002004CB">
        <w:rPr>
          <w:b/>
          <w:sz w:val="24"/>
        </w:rPr>
        <w:t>RECIPIENT INVOLVEMENT</w:t>
      </w:r>
    </w:p>
    <w:p w:rsidR="00E22AB2" w:rsidRDefault="00E22AB2" w:rsidP="004A1F86">
      <w:pPr>
        <w:jc w:val="center"/>
        <w:rPr>
          <w:b/>
        </w:rPr>
      </w:pPr>
    </w:p>
    <w:p w:rsidR="008B7122" w:rsidRPr="001B0593" w:rsidRDefault="008B7122" w:rsidP="008B71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88" w:lineRule="exact"/>
        <w:rPr>
          <w:sz w:val="24"/>
        </w:rPr>
      </w:pPr>
      <w:r w:rsidRPr="001B0593">
        <w:rPr>
          <w:sz w:val="24"/>
        </w:rPr>
        <w:t xml:space="preserve">The CFSC agrees to provide supervision and oversight and to coordinate with other public and private organizations, agencies and individuals to accomplish the identified tasks.  </w:t>
      </w:r>
    </w:p>
    <w:p w:rsidR="008B7122" w:rsidRPr="001B0593" w:rsidRDefault="008B7122" w:rsidP="008B7122">
      <w:pPr>
        <w:widowControl/>
        <w:numPr>
          <w:ilvl w:val="0"/>
          <w:numId w:val="19"/>
        </w:numPr>
        <w:autoSpaceDE/>
        <w:autoSpaceDN/>
        <w:adjustRightInd/>
        <w:rPr>
          <w:sz w:val="24"/>
        </w:rPr>
      </w:pPr>
      <w:r w:rsidRPr="001B0593">
        <w:rPr>
          <w:sz w:val="24"/>
        </w:rPr>
        <w:t xml:space="preserve">Operate grants Clearinghouse with funding from participating agencies. </w:t>
      </w:r>
    </w:p>
    <w:p w:rsidR="008B7122" w:rsidRPr="001B0593" w:rsidRDefault="008B7122" w:rsidP="008B7122">
      <w:pPr>
        <w:widowControl/>
        <w:numPr>
          <w:ilvl w:val="0"/>
          <w:numId w:val="19"/>
        </w:numPr>
        <w:autoSpaceDE/>
        <w:autoSpaceDN/>
        <w:adjustRightInd/>
        <w:rPr>
          <w:sz w:val="24"/>
        </w:rPr>
      </w:pPr>
      <w:r w:rsidRPr="001B0593">
        <w:rPr>
          <w:sz w:val="24"/>
        </w:rPr>
        <w:t xml:space="preserve">Fund projects when agencies want to pass funding through the FSC. </w:t>
      </w:r>
    </w:p>
    <w:p w:rsidR="008B7122" w:rsidRPr="001B0593" w:rsidRDefault="008B7122" w:rsidP="008B7122">
      <w:pPr>
        <w:widowControl/>
        <w:numPr>
          <w:ilvl w:val="0"/>
          <w:numId w:val="19"/>
        </w:numPr>
        <w:autoSpaceDE/>
        <w:autoSpaceDN/>
        <w:adjustRightInd/>
        <w:rPr>
          <w:sz w:val="24"/>
        </w:rPr>
      </w:pPr>
      <w:r w:rsidRPr="001B0593">
        <w:rPr>
          <w:sz w:val="24"/>
        </w:rPr>
        <w:t>Input and manage data entry for NFPORS data base.</w:t>
      </w:r>
    </w:p>
    <w:p w:rsidR="008B7122" w:rsidRPr="001B0593" w:rsidRDefault="008B7122" w:rsidP="008B7122">
      <w:pPr>
        <w:widowControl/>
        <w:numPr>
          <w:ilvl w:val="0"/>
          <w:numId w:val="19"/>
        </w:numPr>
        <w:autoSpaceDE/>
        <w:autoSpaceDN/>
        <w:adjustRightInd/>
        <w:rPr>
          <w:sz w:val="24"/>
        </w:rPr>
      </w:pPr>
      <w:r w:rsidRPr="001B0593">
        <w:rPr>
          <w:sz w:val="24"/>
        </w:rPr>
        <w:t>Provide Administrative Assistance for the California Fire Alliance</w:t>
      </w:r>
    </w:p>
    <w:p w:rsidR="00E22AB2" w:rsidRPr="001B0593" w:rsidRDefault="00E22AB2" w:rsidP="008B7122">
      <w:pPr>
        <w:rPr>
          <w:b/>
          <w:sz w:val="24"/>
        </w:rPr>
      </w:pPr>
    </w:p>
    <w:p w:rsidR="004A1F86" w:rsidRPr="001B0593" w:rsidRDefault="002004CB" w:rsidP="0076623B">
      <w:pPr>
        <w:jc w:val="center"/>
        <w:rPr>
          <w:b/>
          <w:sz w:val="24"/>
        </w:rPr>
      </w:pPr>
      <w:r w:rsidRPr="001B0593">
        <w:rPr>
          <w:b/>
          <w:sz w:val="24"/>
        </w:rPr>
        <w:t>BLM INVOLVEMENT</w:t>
      </w:r>
    </w:p>
    <w:p w:rsidR="004A1F86" w:rsidRPr="001B0593" w:rsidRDefault="004A1F86" w:rsidP="004A1F86">
      <w:pPr>
        <w:rPr>
          <w:sz w:val="24"/>
        </w:rPr>
      </w:pPr>
    </w:p>
    <w:p w:rsidR="004A1F86" w:rsidRPr="001B0593" w:rsidRDefault="004A1F86" w:rsidP="004A1F86">
      <w:pPr>
        <w:rPr>
          <w:sz w:val="24"/>
        </w:rPr>
      </w:pPr>
      <w:r w:rsidRPr="001B0593">
        <w:rPr>
          <w:sz w:val="24"/>
        </w:rPr>
        <w:t>Substantial involvement on the part BLM is anticipated for the successful completion of the objectives to be funded by this award.  In particular, BLM will be responsible for the following:</w:t>
      </w:r>
    </w:p>
    <w:p w:rsidR="004A1F86" w:rsidRPr="001B0593" w:rsidRDefault="004A1F86" w:rsidP="004A1F86">
      <w:pPr>
        <w:rPr>
          <w:sz w:val="24"/>
        </w:rPr>
      </w:pPr>
    </w:p>
    <w:p w:rsidR="008B7122" w:rsidRPr="001B0593" w:rsidRDefault="008B7122" w:rsidP="008B7122">
      <w:pPr>
        <w:widowControl/>
        <w:numPr>
          <w:ilvl w:val="0"/>
          <w:numId w:val="20"/>
        </w:numPr>
        <w:tabs>
          <w:tab w:val="clear" w:pos="360"/>
          <w:tab w:val="num" w:pos="1800"/>
        </w:tabs>
        <w:autoSpaceDE/>
        <w:autoSpaceDN/>
        <w:adjustRightInd/>
        <w:ind w:left="1800"/>
        <w:rPr>
          <w:sz w:val="24"/>
        </w:rPr>
      </w:pPr>
      <w:r w:rsidRPr="001B0593">
        <w:rPr>
          <w:sz w:val="24"/>
        </w:rPr>
        <w:t>Actively participate in California Fire Alliance Clearinghouse workgroup</w:t>
      </w:r>
    </w:p>
    <w:p w:rsidR="008B7122" w:rsidRPr="001B0593" w:rsidRDefault="008B7122" w:rsidP="008B7122">
      <w:pPr>
        <w:widowControl/>
        <w:numPr>
          <w:ilvl w:val="0"/>
          <w:numId w:val="20"/>
        </w:numPr>
        <w:tabs>
          <w:tab w:val="clear" w:pos="360"/>
          <w:tab w:val="num" w:pos="1800"/>
        </w:tabs>
        <w:autoSpaceDE/>
        <w:autoSpaceDN/>
        <w:adjustRightInd/>
        <w:ind w:left="1800"/>
        <w:rPr>
          <w:sz w:val="24"/>
        </w:rPr>
      </w:pPr>
      <w:r w:rsidRPr="001B0593">
        <w:rPr>
          <w:sz w:val="24"/>
        </w:rPr>
        <w:t xml:space="preserve">Establish mutually agreeable deadlines for annual Clearinghouse </w:t>
      </w:r>
    </w:p>
    <w:p w:rsidR="008B7122" w:rsidRPr="001B0593" w:rsidRDefault="008B7122" w:rsidP="008B7122">
      <w:pPr>
        <w:widowControl/>
        <w:numPr>
          <w:ilvl w:val="0"/>
          <w:numId w:val="20"/>
        </w:numPr>
        <w:tabs>
          <w:tab w:val="clear" w:pos="360"/>
          <w:tab w:val="num" w:pos="1800"/>
        </w:tabs>
        <w:autoSpaceDE/>
        <w:autoSpaceDN/>
        <w:adjustRightInd/>
        <w:ind w:left="1800"/>
        <w:rPr>
          <w:sz w:val="24"/>
        </w:rPr>
      </w:pPr>
      <w:r w:rsidRPr="001B0593">
        <w:rPr>
          <w:sz w:val="24"/>
        </w:rPr>
        <w:t>Provide information on grant programs in Clearinghouse for inclusion on site</w:t>
      </w:r>
    </w:p>
    <w:p w:rsidR="008B7122" w:rsidRPr="001B0593" w:rsidRDefault="008B7122" w:rsidP="008B7122">
      <w:pPr>
        <w:widowControl/>
        <w:numPr>
          <w:ilvl w:val="0"/>
          <w:numId w:val="20"/>
        </w:numPr>
        <w:tabs>
          <w:tab w:val="clear" w:pos="360"/>
          <w:tab w:val="num" w:pos="1800"/>
        </w:tabs>
        <w:autoSpaceDE/>
        <w:autoSpaceDN/>
        <w:adjustRightInd/>
        <w:ind w:left="1800"/>
        <w:rPr>
          <w:sz w:val="24"/>
        </w:rPr>
      </w:pPr>
      <w:r w:rsidRPr="001B0593">
        <w:rPr>
          <w:sz w:val="24"/>
        </w:rPr>
        <w:t>Provide guidance and assistance to California Fire Safe Council in properly communicating about Clearinghouse with agency personnel at relevant levels, including headquarters and field offices</w:t>
      </w:r>
    </w:p>
    <w:p w:rsidR="008B7122" w:rsidRPr="001B0593" w:rsidRDefault="008B7122" w:rsidP="008B7122">
      <w:pPr>
        <w:widowControl/>
        <w:numPr>
          <w:ilvl w:val="0"/>
          <w:numId w:val="20"/>
        </w:numPr>
        <w:tabs>
          <w:tab w:val="clear" w:pos="360"/>
          <w:tab w:val="num" w:pos="1800"/>
        </w:tabs>
        <w:autoSpaceDE/>
        <w:autoSpaceDN/>
        <w:adjustRightInd/>
        <w:ind w:left="1800"/>
        <w:rPr>
          <w:sz w:val="24"/>
        </w:rPr>
      </w:pPr>
      <w:r w:rsidRPr="001B0593">
        <w:rPr>
          <w:sz w:val="24"/>
        </w:rPr>
        <w:t>Provide technical assistance to California Fire Safe Council on potential grants issues (issues usually relate to environmental compliance, federal forms and administrative issues)</w:t>
      </w:r>
    </w:p>
    <w:p w:rsidR="004A1F86" w:rsidRPr="001B0593" w:rsidRDefault="004A1F86" w:rsidP="004A1F86">
      <w:pPr>
        <w:rPr>
          <w:sz w:val="24"/>
        </w:rPr>
      </w:pPr>
    </w:p>
    <w:p w:rsidR="004A1F86" w:rsidRDefault="004A1F86" w:rsidP="004A1F86"/>
    <w:p w:rsidR="004A1F86" w:rsidRDefault="004A1F86" w:rsidP="004A1F86">
      <w:pPr>
        <w:jc w:val="center"/>
        <w:rPr>
          <w:b/>
        </w:rPr>
      </w:pPr>
      <w:r>
        <w:rPr>
          <w:b/>
        </w:rPr>
        <w:t>SINGLE-SOURCE JUSTIFICATION</w:t>
      </w:r>
    </w:p>
    <w:p w:rsidR="004A1F86" w:rsidRDefault="004A1F86" w:rsidP="004A1F86"/>
    <w:tbl>
      <w:tblPr>
        <w:tblW w:w="0" w:type="auto"/>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tblLook w:val="01E0"/>
      </w:tblPr>
      <w:tblGrid>
        <w:gridCol w:w="9288"/>
      </w:tblGrid>
      <w:tr w:rsidR="004A1F86" w:rsidTr="005946F2">
        <w:trPr>
          <w:trHeight w:val="762"/>
        </w:trPr>
        <w:tc>
          <w:tcPr>
            <w:tcW w:w="9288" w:type="dxa"/>
            <w:tcBorders>
              <w:top w:val="double" w:sz="4" w:space="0" w:color="auto"/>
              <w:bottom w:val="double" w:sz="4" w:space="0" w:color="auto"/>
            </w:tcBorders>
            <w:shd w:val="clear" w:color="auto" w:fill="CB9F5B"/>
            <w:vAlign w:val="center"/>
          </w:tcPr>
          <w:p w:rsidR="004A1F86" w:rsidRPr="005946F2" w:rsidRDefault="004A1F86" w:rsidP="005946F2">
            <w:pPr>
              <w:jc w:val="center"/>
              <w:rPr>
                <w:b/>
              </w:rPr>
            </w:pPr>
            <w:r w:rsidRPr="005946F2">
              <w:rPr>
                <w:b/>
              </w:rPr>
              <w:t>DEPARTMENT OF THE INTERIOR</w:t>
            </w:r>
          </w:p>
          <w:p w:rsidR="004A1F86" w:rsidRPr="005946F2" w:rsidRDefault="004A1F86" w:rsidP="005946F2">
            <w:pPr>
              <w:jc w:val="center"/>
              <w:rPr>
                <w:b/>
              </w:rPr>
            </w:pPr>
            <w:r w:rsidRPr="005946F2">
              <w:rPr>
                <w:b/>
              </w:rPr>
              <w:t>SINGLE SOURCE POLICY REQUIREMENTS</w:t>
            </w:r>
          </w:p>
        </w:tc>
      </w:tr>
      <w:tr w:rsidR="004A1F86" w:rsidTr="005946F2">
        <w:tc>
          <w:tcPr>
            <w:tcW w:w="9288" w:type="dxa"/>
            <w:tcBorders>
              <w:top w:val="double" w:sz="4" w:space="0" w:color="auto"/>
            </w:tcBorders>
          </w:tcPr>
          <w:p w:rsidR="004A1F86" w:rsidRDefault="004A1F86" w:rsidP="00CB559F"/>
          <w:p w:rsidR="004A1F86" w:rsidRDefault="004A1F86" w:rsidP="00CB559F">
            <w:r>
              <w:t>Department of the Interior Policy (505 DM 2) requires a written justification which explains why competition is not practicable for each single-source award.  The justification must address one or more of the following criteria as well as discussion of the program legislative history, unique capabilities of the proposed recipient, and cost-sharing contribution offered by the proposed recipient, as applicable.</w:t>
            </w:r>
          </w:p>
          <w:p w:rsidR="004A1F86" w:rsidRDefault="004A1F86" w:rsidP="00CB559F"/>
        </w:tc>
      </w:tr>
      <w:tr w:rsidR="004A1F86" w:rsidTr="005946F2">
        <w:tc>
          <w:tcPr>
            <w:tcW w:w="9288" w:type="dxa"/>
          </w:tcPr>
          <w:p w:rsidR="004A1F86" w:rsidRDefault="004A1F86" w:rsidP="00CB559F"/>
          <w:p w:rsidR="004A1F86" w:rsidRDefault="004A1F86" w:rsidP="00CB559F">
            <w:r>
              <w:t>In order for an assistance award to be made without competition, the award must satisfy one or more of the following criteria:</w:t>
            </w:r>
          </w:p>
          <w:p w:rsidR="004A1F86" w:rsidRDefault="004A1F86" w:rsidP="00CB559F"/>
          <w:p w:rsidR="004A1F86" w:rsidRDefault="004A1F86" w:rsidP="005946F2">
            <w:pPr>
              <w:widowControl/>
              <w:numPr>
                <w:ilvl w:val="0"/>
                <w:numId w:val="17"/>
              </w:numPr>
              <w:tabs>
                <w:tab w:val="clear" w:pos="2376"/>
                <w:tab w:val="num" w:pos="720"/>
              </w:tabs>
              <w:autoSpaceDE/>
              <w:autoSpaceDN/>
              <w:adjustRightInd/>
              <w:ind w:left="720"/>
            </w:pPr>
            <w:r>
              <w:t>Unsolicited Proposal – The proposed award is the result of an unsolicited assistance application which represents a unique or innovative idea, method, or approach which is not the subject of a current or planned contract or assistance award, but which is deemed advantageous to the program objectives;</w:t>
            </w:r>
          </w:p>
          <w:p w:rsidR="004A1F86" w:rsidRDefault="004A1F86" w:rsidP="00CB559F"/>
          <w:p w:rsidR="004A1F86" w:rsidRDefault="004A1F86" w:rsidP="005946F2">
            <w:pPr>
              <w:widowControl/>
              <w:numPr>
                <w:ilvl w:val="0"/>
                <w:numId w:val="17"/>
              </w:numPr>
              <w:tabs>
                <w:tab w:val="clear" w:pos="2376"/>
                <w:tab w:val="num" w:pos="720"/>
              </w:tabs>
              <w:autoSpaceDE/>
              <w:autoSpaceDN/>
              <w:adjustRightInd/>
              <w:ind w:left="720"/>
            </w:pPr>
            <w:r>
              <w:t>Continuation – The activity to be funded is necessary to the satisfactory completion of, or is a continuation of an activity presently being funded, and for which competition would have a significant adverse effect on the continuity or completion of the activity;</w:t>
            </w:r>
          </w:p>
          <w:p w:rsidR="004A1F86" w:rsidRDefault="004A1F86" w:rsidP="00CB559F"/>
          <w:p w:rsidR="004A1F86" w:rsidRDefault="004A1F86" w:rsidP="005946F2">
            <w:pPr>
              <w:widowControl/>
              <w:numPr>
                <w:ilvl w:val="0"/>
                <w:numId w:val="17"/>
              </w:numPr>
              <w:tabs>
                <w:tab w:val="clear" w:pos="2376"/>
                <w:tab w:val="num" w:pos="720"/>
              </w:tabs>
              <w:autoSpaceDE/>
              <w:autoSpaceDN/>
              <w:adjustRightInd/>
              <w:ind w:left="720"/>
            </w:pPr>
            <w:r>
              <w:t>Legislative intent – The language in the applicable authorizing legislation or legislative history clearly indicates Congress’ intent to restrict the award to a particular recipient of purpose;</w:t>
            </w:r>
          </w:p>
          <w:p w:rsidR="004A1F86" w:rsidRDefault="004A1F86" w:rsidP="00CB559F"/>
          <w:p w:rsidR="004A1F86" w:rsidRDefault="004A1F86" w:rsidP="005946F2">
            <w:pPr>
              <w:widowControl/>
              <w:numPr>
                <w:ilvl w:val="0"/>
                <w:numId w:val="17"/>
              </w:numPr>
              <w:tabs>
                <w:tab w:val="clear" w:pos="2376"/>
                <w:tab w:val="num" w:pos="720"/>
              </w:tabs>
              <w:autoSpaceDE/>
              <w:autoSpaceDN/>
              <w:adjustRightInd/>
              <w:ind w:left="720"/>
            </w:pPr>
            <w:r>
              <w:lastRenderedPageBreak/>
              <w:t>Unique Qualifications – The applicant is uniquely qualified to perform the activity based upon a variety of demonstrable factors such as location, property ownership, voluntary support capacity, cost-sharing ability if applicable, technical expertise, or other such unique qualifications;</w:t>
            </w:r>
          </w:p>
          <w:p w:rsidR="004A1F86" w:rsidRDefault="004A1F86" w:rsidP="00CB559F"/>
          <w:p w:rsidR="004A1F86" w:rsidRDefault="004A1F86" w:rsidP="005946F2">
            <w:pPr>
              <w:widowControl/>
              <w:numPr>
                <w:ilvl w:val="0"/>
                <w:numId w:val="17"/>
              </w:numPr>
              <w:tabs>
                <w:tab w:val="clear" w:pos="2376"/>
                <w:tab w:val="num" w:pos="720"/>
              </w:tabs>
              <w:autoSpaceDE/>
              <w:autoSpaceDN/>
              <w:adjustRightInd/>
              <w:ind w:left="720"/>
            </w:pPr>
            <w:r>
              <w:t>Emergencies – Program/award where there is insufficient time available (due to a compelling and unusual urgency, or substantial danger to health or safety) for adequate competitive procedures to be followed.</w:t>
            </w:r>
          </w:p>
          <w:p w:rsidR="004A1F86" w:rsidRDefault="004A1F86" w:rsidP="00CB559F"/>
        </w:tc>
      </w:tr>
    </w:tbl>
    <w:p w:rsidR="004A1F86" w:rsidRDefault="004A1F86" w:rsidP="004A1F86"/>
    <w:p w:rsidR="004A1F86" w:rsidRPr="001B0593" w:rsidRDefault="004A1F86" w:rsidP="004A1F86">
      <w:pPr>
        <w:rPr>
          <w:sz w:val="24"/>
        </w:rPr>
      </w:pPr>
      <w:r w:rsidRPr="001B0593">
        <w:rPr>
          <w:sz w:val="24"/>
        </w:rPr>
        <w:t>BLM did not solicit full and open competition for this award based the following criteria:</w:t>
      </w:r>
    </w:p>
    <w:p w:rsidR="004A1F86" w:rsidRPr="001B0593" w:rsidRDefault="004A1F86" w:rsidP="004A1F86">
      <w:pPr>
        <w:rPr>
          <w:sz w:val="24"/>
        </w:rPr>
      </w:pPr>
    </w:p>
    <w:p w:rsidR="0008217C" w:rsidRPr="001B0593" w:rsidRDefault="0008217C" w:rsidP="0008217C">
      <w:pPr>
        <w:jc w:val="center"/>
        <w:rPr>
          <w:b/>
          <w:sz w:val="24"/>
        </w:rPr>
      </w:pPr>
      <w:r w:rsidRPr="001B0593">
        <w:rPr>
          <w:b/>
          <w:sz w:val="24"/>
        </w:rPr>
        <w:t xml:space="preserve"> Single Source Justification Description:</w:t>
      </w:r>
    </w:p>
    <w:p w:rsidR="004A1F86" w:rsidRPr="001B0593" w:rsidRDefault="004A1F86" w:rsidP="004A1F86">
      <w:pPr>
        <w:rPr>
          <w:sz w:val="24"/>
        </w:rPr>
      </w:pPr>
      <w:r w:rsidRPr="001B0593">
        <w:rPr>
          <w:sz w:val="24"/>
        </w:rPr>
        <w:t xml:space="preserve"> </w:t>
      </w:r>
    </w:p>
    <w:p w:rsidR="0008217C" w:rsidRPr="001B0593" w:rsidRDefault="008B7122" w:rsidP="0008217C">
      <w:pPr>
        <w:rPr>
          <w:caps/>
          <w:sz w:val="24"/>
        </w:rPr>
      </w:pPr>
      <w:r w:rsidRPr="001B0593">
        <w:rPr>
          <w:caps/>
          <w:sz w:val="24"/>
        </w:rPr>
        <w:t>(2) Continuation – This is a continuation of a current muli- agency agreement.</w:t>
      </w:r>
    </w:p>
    <w:p w:rsidR="0008217C" w:rsidRPr="001B0593" w:rsidRDefault="0008217C" w:rsidP="0008217C">
      <w:pPr>
        <w:rPr>
          <w:sz w:val="24"/>
        </w:rPr>
      </w:pPr>
    </w:p>
    <w:p w:rsidR="004A1F86" w:rsidRPr="001B0593" w:rsidRDefault="004A1F86" w:rsidP="004A1F86">
      <w:pPr>
        <w:rPr>
          <w:sz w:val="24"/>
        </w:rPr>
      </w:pPr>
    </w:p>
    <w:p w:rsidR="004A1F86" w:rsidRPr="001B0593" w:rsidRDefault="004A1F86" w:rsidP="004A1F86">
      <w:pPr>
        <w:jc w:val="center"/>
        <w:rPr>
          <w:b/>
          <w:sz w:val="24"/>
        </w:rPr>
      </w:pPr>
    </w:p>
    <w:p w:rsidR="004A1F86" w:rsidRPr="001B0593" w:rsidRDefault="004A1F86" w:rsidP="004A1F86">
      <w:pPr>
        <w:jc w:val="center"/>
        <w:rPr>
          <w:b/>
          <w:sz w:val="24"/>
        </w:rPr>
      </w:pPr>
      <w:r w:rsidRPr="001B0593">
        <w:rPr>
          <w:b/>
          <w:sz w:val="24"/>
        </w:rPr>
        <w:t>STATUTORY AUTHORITY</w:t>
      </w:r>
    </w:p>
    <w:p w:rsidR="004A1F86" w:rsidRPr="001B0593" w:rsidRDefault="004A1F86" w:rsidP="004A1F86">
      <w:pPr>
        <w:rPr>
          <w:sz w:val="24"/>
        </w:rPr>
      </w:pPr>
    </w:p>
    <w:p w:rsidR="004A1F86" w:rsidRPr="001B0593" w:rsidRDefault="0008217C">
      <w:pPr>
        <w:ind w:left="-288"/>
        <w:rPr>
          <w:rFonts w:ascii="CG Times" w:hAnsi="CG Times"/>
          <w:b/>
          <w:sz w:val="24"/>
        </w:rPr>
      </w:pPr>
      <w:r w:rsidRPr="001B0593">
        <w:rPr>
          <w:sz w:val="24"/>
        </w:rPr>
        <w:t>The Federal Land Policy and Management Act of 1976, as amended</w:t>
      </w:r>
      <w:r w:rsidR="002004CB" w:rsidRPr="001B0593">
        <w:rPr>
          <w:sz w:val="24"/>
        </w:rPr>
        <w:t xml:space="preserve">.  </w:t>
      </w:r>
      <w:r w:rsidRPr="001B0593">
        <w:rPr>
          <w:sz w:val="24"/>
        </w:rPr>
        <w:t>Public Law 94-579, Section 307 (b) states that the Secretary may enter into contracts and cooperative agreements for the management, protection, development, and sale of public lands.</w:t>
      </w:r>
    </w:p>
    <w:sectPr w:rsidR="004A1F86" w:rsidRPr="001B0593" w:rsidSect="004A1F86">
      <w:footerReference w:type="even" r:id="rId11"/>
      <w:footerReference w:type="default" r:id="rId12"/>
      <w:pgSz w:w="12240" w:h="15840"/>
      <w:pgMar w:top="1260" w:right="990" w:bottom="1260" w:left="720" w:header="720" w:footer="72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6F2" w:rsidRDefault="005946F2">
      <w:r>
        <w:separator/>
      </w:r>
    </w:p>
  </w:endnote>
  <w:endnote w:type="continuationSeparator" w:id="1">
    <w:p w:rsidR="005946F2" w:rsidRDefault="005946F2">
      <w:r>
        <w:continuationSeparator/>
      </w:r>
    </w:p>
  </w:endnote>
</w:endnotes>
</file>

<file path=word/fontTable.xml><?xml version="1.0" encoding="utf-8"?>
<w:fonts xmlns:r="http://schemas.openxmlformats.org/officeDocument/2006/relationships" xmlns:w="http://schemas.openxmlformats.org/wordprocessingml/2006/main">
  <w:font w:name="Univers">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ndale Mono">
    <w:altName w:val="Arial Narrow"/>
    <w:charset w:val="00"/>
    <w:family w:val="modern"/>
    <w:pitch w:val="fixed"/>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B5" w:rsidRDefault="005C6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6AB5" w:rsidRDefault="005C6AB5">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AB5" w:rsidRDefault="005C6A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69D2">
      <w:rPr>
        <w:rStyle w:val="PageNumber"/>
        <w:noProof/>
      </w:rPr>
      <w:t>2</w:t>
    </w:r>
    <w:r>
      <w:rPr>
        <w:rStyle w:val="PageNumber"/>
      </w:rPr>
      <w:fldChar w:fldCharType="end"/>
    </w:r>
  </w:p>
  <w:p w:rsidR="005C6AB5" w:rsidRDefault="005C6AB5">
    <w:pPr>
      <w:pStyle w:val="Footer"/>
      <w:ind w:right="360"/>
      <w:jc w:val="right"/>
    </w:pPr>
    <w:r>
      <w:tab/>
      <w:t>-  -</w:t>
    </w:r>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6F2" w:rsidRDefault="005946F2">
      <w:r>
        <w:separator/>
      </w:r>
    </w:p>
  </w:footnote>
  <w:footnote w:type="continuationSeparator" w:id="1">
    <w:p w:rsidR="005946F2" w:rsidRDefault="005946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decimal"/>
      <w:lvlText w:val="%1"/>
      <w:lvlJc w:val="left"/>
    </w:lvl>
    <w:lvl w:ilvl="1">
      <w:start w:val="1"/>
      <w:numFmt w:val="decimal"/>
      <w:pStyle w:val="Level2"/>
      <w:lvlText w:val="%2."/>
      <w:lvlJc w:val="left"/>
      <w:pPr>
        <w:tabs>
          <w:tab w:val="num" w:pos="1440"/>
        </w:tabs>
        <w:ind w:left="1440" w:hanging="720"/>
      </w:pPr>
      <w:rPr>
        <w:rFonts w:ascii="Univers" w:hAnsi="Univers" w:cs="Times New Roman"/>
        <w:sz w:val="22"/>
        <w:szCs w:val="22"/>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8E853C5"/>
    <w:multiLevelType w:val="hybridMultilevel"/>
    <w:tmpl w:val="8962F84A"/>
    <w:lvl w:ilvl="0" w:tplc="B82A9548">
      <w:start w:val="1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BD3631"/>
    <w:multiLevelType w:val="hybridMultilevel"/>
    <w:tmpl w:val="CD8AC6DC"/>
    <w:lvl w:ilvl="0" w:tplc="04090015">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A325278"/>
    <w:multiLevelType w:val="hybridMultilevel"/>
    <w:tmpl w:val="793669C6"/>
    <w:lvl w:ilvl="0" w:tplc="0409000F">
      <w:start w:val="1"/>
      <w:numFmt w:val="decimal"/>
      <w:lvlText w:val="%1."/>
      <w:lvlJc w:val="left"/>
      <w:pPr>
        <w:tabs>
          <w:tab w:val="num" w:pos="1800"/>
        </w:tabs>
        <w:ind w:left="1800" w:hanging="360"/>
      </w:pPr>
      <w:rPr>
        <w:rFonts w:hint="default"/>
        <w:color w:val="auto"/>
      </w:rPr>
    </w:lvl>
    <w:lvl w:ilvl="1" w:tplc="04090019">
      <w:start w:val="1"/>
      <w:numFmt w:val="lowerLetter"/>
      <w:lvlText w:val="%2."/>
      <w:lvlJc w:val="left"/>
      <w:pPr>
        <w:tabs>
          <w:tab w:val="num" w:pos="2880"/>
        </w:tabs>
        <w:ind w:left="2880" w:hanging="360"/>
      </w:pPr>
      <w:rPr>
        <w:rFonts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nsid w:val="3A533E66"/>
    <w:multiLevelType w:val="hybridMultilevel"/>
    <w:tmpl w:val="3844E546"/>
    <w:lvl w:ilvl="0" w:tplc="6F0EC460">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E306B9A"/>
    <w:multiLevelType w:val="hybridMultilevel"/>
    <w:tmpl w:val="65AA9388"/>
    <w:lvl w:ilvl="0" w:tplc="79647B44">
      <w:start w:val="1"/>
      <w:numFmt w:val="upperLetter"/>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3F7B1F44"/>
    <w:multiLevelType w:val="hybridMultilevel"/>
    <w:tmpl w:val="3B406048"/>
    <w:lvl w:ilvl="0" w:tplc="FFFFFFFF">
      <w:start w:val="1"/>
      <w:numFmt w:val="lowerLetter"/>
      <w:lvlText w:val="%1."/>
      <w:lvlJc w:val="left"/>
      <w:pPr>
        <w:tabs>
          <w:tab w:val="num" w:pos="2520"/>
        </w:tabs>
        <w:ind w:left="25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18B2342"/>
    <w:multiLevelType w:val="hybridMultilevel"/>
    <w:tmpl w:val="0E2C2EE8"/>
    <w:lvl w:ilvl="0" w:tplc="C3F4F4D2">
      <w:start w:val="1"/>
      <w:numFmt w:val="upperLetter"/>
      <w:lvlText w:val="%1."/>
      <w:lvlJc w:val="left"/>
      <w:pPr>
        <w:tabs>
          <w:tab w:val="num" w:pos="720"/>
        </w:tabs>
        <w:ind w:left="720" w:hanging="360"/>
      </w:pPr>
      <w:rPr>
        <w:rFonts w:ascii="Times New Roman" w:eastAsia="Times New Roman" w:hAnsi="Times New Roman" w:cs="Times New Roman"/>
      </w:rPr>
    </w:lvl>
    <w:lvl w:ilvl="1" w:tplc="FD7AFACC">
      <w:start w:val="3"/>
      <w:numFmt w:val="upperLetter"/>
      <w:lvlText w:val="%2."/>
      <w:lvlJc w:val="left"/>
      <w:pPr>
        <w:tabs>
          <w:tab w:val="num" w:pos="1440"/>
        </w:tabs>
        <w:ind w:left="1440" w:hanging="360"/>
      </w:pPr>
      <w:rPr>
        <w:rFonts w:hint="default"/>
      </w:rPr>
    </w:lvl>
    <w:lvl w:ilvl="2" w:tplc="0686C11C">
      <w:start w:val="1"/>
      <w:numFmt w:val="decimal"/>
      <w:lvlText w:val="%3)"/>
      <w:lvlJc w:val="left"/>
      <w:pPr>
        <w:tabs>
          <w:tab w:val="num" w:pos="2400"/>
        </w:tabs>
        <w:ind w:left="2400" w:hanging="4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4F245E9"/>
    <w:multiLevelType w:val="hybridMultilevel"/>
    <w:tmpl w:val="6B96E868"/>
    <w:lvl w:ilvl="0" w:tplc="A724B818">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9">
    <w:nsid w:val="503B322B"/>
    <w:multiLevelType w:val="multilevel"/>
    <w:tmpl w:val="A664EC30"/>
    <w:lvl w:ilvl="0">
      <w:start w:val="1"/>
      <w:numFmt w:val="upp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26E13F9"/>
    <w:multiLevelType w:val="hybridMultilevel"/>
    <w:tmpl w:val="B7F47982"/>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1">
    <w:nsid w:val="5D913D1A"/>
    <w:multiLevelType w:val="hybridMultilevel"/>
    <w:tmpl w:val="8A92A46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620B0DF1"/>
    <w:multiLevelType w:val="hybridMultilevel"/>
    <w:tmpl w:val="FFB460B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6C3E55D7"/>
    <w:multiLevelType w:val="multilevel"/>
    <w:tmpl w:val="9790106E"/>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260"/>
        </w:tabs>
        <w:ind w:left="900" w:firstLine="0"/>
      </w:pPr>
      <w:rPr>
        <w:b/>
      </w:r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4">
    <w:nsid w:val="6CA659EC"/>
    <w:multiLevelType w:val="multilevel"/>
    <w:tmpl w:val="66843D6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6F5842FA"/>
    <w:multiLevelType w:val="hybridMultilevel"/>
    <w:tmpl w:val="719AA9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74142C5"/>
    <w:multiLevelType w:val="hybridMultilevel"/>
    <w:tmpl w:val="8260272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rPr>
        <w:rFonts w:hint="default"/>
        <w:b w:val="0"/>
      </w:rPr>
    </w:lvl>
    <w:lvl w:ilvl="2" w:tplc="FFFFFFFF">
      <w:start w:val="1"/>
      <w:numFmt w:val="decimal"/>
      <w:lvlText w:val="%3."/>
      <w:lvlJc w:val="left"/>
      <w:pPr>
        <w:tabs>
          <w:tab w:val="num" w:pos="3420"/>
        </w:tabs>
        <w:ind w:left="3420" w:hanging="360"/>
      </w:pPr>
      <w:rPr>
        <w:rFonts w:hint="default"/>
      </w:rPr>
    </w:lvl>
    <w:lvl w:ilvl="3" w:tplc="FFFFFFFF">
      <w:start w:val="4"/>
      <w:numFmt w:val="upperLetter"/>
      <w:lvlText w:val="%4."/>
      <w:lvlJc w:val="left"/>
      <w:pPr>
        <w:tabs>
          <w:tab w:val="num" w:pos="3960"/>
        </w:tabs>
        <w:ind w:left="3960" w:hanging="360"/>
      </w:pPr>
      <w:rPr>
        <w:rFonts w:hint="default"/>
      </w:r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7">
    <w:nsid w:val="7784549E"/>
    <w:multiLevelType w:val="hybridMultilevel"/>
    <w:tmpl w:val="FD461674"/>
    <w:lvl w:ilvl="0" w:tplc="A768CDAC">
      <w:start w:val="1"/>
      <w:numFmt w:val="decimal"/>
      <w:lvlText w:val="(%1)"/>
      <w:lvlJc w:val="left"/>
      <w:pPr>
        <w:tabs>
          <w:tab w:val="num" w:pos="2376"/>
        </w:tabs>
        <w:ind w:left="2376" w:hanging="3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8C57D2F"/>
    <w:multiLevelType w:val="hybridMultilevel"/>
    <w:tmpl w:val="339EAF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E33C145A">
      <w:start w:val="1"/>
      <w:numFmt w:val="decimal"/>
      <w:lvlText w:val="%4."/>
      <w:lvlJc w:val="left"/>
      <w:pPr>
        <w:tabs>
          <w:tab w:val="num" w:pos="2880"/>
        </w:tabs>
        <w:ind w:left="2880" w:hanging="360"/>
      </w:pPr>
      <w:rPr>
        <w:color w:val="auto"/>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startOverride w:val="1"/>
      <w:lvl w:ilvl="0">
        <w:start w:val="1"/>
        <w:numFmt w:val="decimal"/>
        <w:lvlText w:val="%1"/>
        <w:lvlJc w:val="left"/>
      </w:lvl>
    </w:lvlOverride>
    <w:lvlOverride w:ilvl="1">
      <w:startOverride w:val="7"/>
      <w:lvl w:ilvl="1">
        <w:start w:val="7"/>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2">
    <w:abstractNumId w:val="16"/>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3"/>
  </w:num>
  <w:num w:numId="6">
    <w:abstractNumId w:val="7"/>
  </w:num>
  <w:num w:numId="7">
    <w:abstractNumId w:val="4"/>
  </w:num>
  <w:num w:numId="8">
    <w:abstractNumId w:val="2"/>
  </w:num>
  <w:num w:numId="9">
    <w:abstractNumId w:val="5"/>
  </w:num>
  <w:num w:numId="10">
    <w:abstractNumId w:val="15"/>
  </w:num>
  <w:num w:numId="11">
    <w:abstractNumId w:val="11"/>
  </w:num>
  <w:num w:numId="12">
    <w:abstractNumId w:val="12"/>
  </w:num>
  <w:num w:numId="13">
    <w:abstractNumId w:val="18"/>
  </w:num>
  <w:num w:numId="14">
    <w:abstractNumId w:val="9"/>
  </w:num>
  <w:num w:numId="15">
    <w:abstractNumId w:val="8"/>
  </w:num>
  <w:num w:numId="16">
    <w:abstractNumId w:val="10"/>
  </w:num>
  <w:num w:numId="17">
    <w:abstractNumId w:val="17"/>
  </w:num>
  <w:num w:numId="18">
    <w:abstractNumId w:val="1"/>
  </w:num>
  <w:num w:numId="19">
    <w:abstractNumId w:val="3"/>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bordersDoNotSurroundHeader/>
  <w:bordersDoNotSurroundFooter/>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0"/>
    <w:footnote w:id="1"/>
  </w:footnotePr>
  <w:endnotePr>
    <w:endnote w:id="0"/>
    <w:endnote w:id="1"/>
  </w:endnotePr>
  <w:compat/>
  <w:rsids>
    <w:rsidRoot w:val="00C676A0"/>
    <w:rsid w:val="000003A2"/>
    <w:rsid w:val="000172B8"/>
    <w:rsid w:val="000177B5"/>
    <w:rsid w:val="00017A09"/>
    <w:rsid w:val="00022B1F"/>
    <w:rsid w:val="00041302"/>
    <w:rsid w:val="0005023A"/>
    <w:rsid w:val="00051155"/>
    <w:rsid w:val="000520B6"/>
    <w:rsid w:val="000528FE"/>
    <w:rsid w:val="00057693"/>
    <w:rsid w:val="00060924"/>
    <w:rsid w:val="000613C4"/>
    <w:rsid w:val="0008217C"/>
    <w:rsid w:val="000844E3"/>
    <w:rsid w:val="00090BCA"/>
    <w:rsid w:val="000925BE"/>
    <w:rsid w:val="000A5080"/>
    <w:rsid w:val="000B57B2"/>
    <w:rsid w:val="000D7753"/>
    <w:rsid w:val="000F2102"/>
    <w:rsid w:val="00101EC9"/>
    <w:rsid w:val="00105B2C"/>
    <w:rsid w:val="00107F97"/>
    <w:rsid w:val="00114850"/>
    <w:rsid w:val="00114DC8"/>
    <w:rsid w:val="00123FA0"/>
    <w:rsid w:val="0012615D"/>
    <w:rsid w:val="00132430"/>
    <w:rsid w:val="00142842"/>
    <w:rsid w:val="00144362"/>
    <w:rsid w:val="00154A8B"/>
    <w:rsid w:val="0016093E"/>
    <w:rsid w:val="00162A2F"/>
    <w:rsid w:val="001634BD"/>
    <w:rsid w:val="00166964"/>
    <w:rsid w:val="00166AB8"/>
    <w:rsid w:val="00167559"/>
    <w:rsid w:val="00174138"/>
    <w:rsid w:val="001A51CE"/>
    <w:rsid w:val="001B0593"/>
    <w:rsid w:val="001B25DC"/>
    <w:rsid w:val="001B3C73"/>
    <w:rsid w:val="001B4305"/>
    <w:rsid w:val="001B5A37"/>
    <w:rsid w:val="001B650D"/>
    <w:rsid w:val="001C5A96"/>
    <w:rsid w:val="001C60A2"/>
    <w:rsid w:val="001D2C22"/>
    <w:rsid w:val="001D4966"/>
    <w:rsid w:val="001E5197"/>
    <w:rsid w:val="002004CB"/>
    <w:rsid w:val="002113E7"/>
    <w:rsid w:val="00216FD2"/>
    <w:rsid w:val="0022417C"/>
    <w:rsid w:val="002328BE"/>
    <w:rsid w:val="00237AE4"/>
    <w:rsid w:val="002469D2"/>
    <w:rsid w:val="002540B9"/>
    <w:rsid w:val="00257322"/>
    <w:rsid w:val="002601C1"/>
    <w:rsid w:val="00284F75"/>
    <w:rsid w:val="002950A3"/>
    <w:rsid w:val="002B0F83"/>
    <w:rsid w:val="002B7ADB"/>
    <w:rsid w:val="002C08AC"/>
    <w:rsid w:val="002E4551"/>
    <w:rsid w:val="002F1BB0"/>
    <w:rsid w:val="002F2CC8"/>
    <w:rsid w:val="002F6B6B"/>
    <w:rsid w:val="00331E5A"/>
    <w:rsid w:val="00333876"/>
    <w:rsid w:val="00334423"/>
    <w:rsid w:val="00345615"/>
    <w:rsid w:val="00353D81"/>
    <w:rsid w:val="00371F5C"/>
    <w:rsid w:val="00380250"/>
    <w:rsid w:val="0038112A"/>
    <w:rsid w:val="003A11C8"/>
    <w:rsid w:val="003A5975"/>
    <w:rsid w:val="003B0DB4"/>
    <w:rsid w:val="003B181C"/>
    <w:rsid w:val="003B5ABB"/>
    <w:rsid w:val="003B7DF8"/>
    <w:rsid w:val="003C2E90"/>
    <w:rsid w:val="003C3A1C"/>
    <w:rsid w:val="003C55F7"/>
    <w:rsid w:val="003D2AF8"/>
    <w:rsid w:val="003D37C1"/>
    <w:rsid w:val="003D6CFA"/>
    <w:rsid w:val="003E0987"/>
    <w:rsid w:val="003E354E"/>
    <w:rsid w:val="003E44A3"/>
    <w:rsid w:val="003F2DF8"/>
    <w:rsid w:val="003F5E96"/>
    <w:rsid w:val="00401C29"/>
    <w:rsid w:val="004021F6"/>
    <w:rsid w:val="004029A5"/>
    <w:rsid w:val="00416B3E"/>
    <w:rsid w:val="00417493"/>
    <w:rsid w:val="004203DF"/>
    <w:rsid w:val="00443197"/>
    <w:rsid w:val="00454D48"/>
    <w:rsid w:val="00456A99"/>
    <w:rsid w:val="00457BAB"/>
    <w:rsid w:val="00463451"/>
    <w:rsid w:val="00465F7E"/>
    <w:rsid w:val="004702AE"/>
    <w:rsid w:val="00487DA1"/>
    <w:rsid w:val="00490116"/>
    <w:rsid w:val="00490778"/>
    <w:rsid w:val="004A02B6"/>
    <w:rsid w:val="004A1F86"/>
    <w:rsid w:val="004A6C2B"/>
    <w:rsid w:val="004C3D8D"/>
    <w:rsid w:val="004F796C"/>
    <w:rsid w:val="00507F80"/>
    <w:rsid w:val="005104EE"/>
    <w:rsid w:val="005111E2"/>
    <w:rsid w:val="00512E9F"/>
    <w:rsid w:val="0052551F"/>
    <w:rsid w:val="00533ACD"/>
    <w:rsid w:val="005445A8"/>
    <w:rsid w:val="005474D8"/>
    <w:rsid w:val="0055066C"/>
    <w:rsid w:val="00550B47"/>
    <w:rsid w:val="0055395B"/>
    <w:rsid w:val="00556D4C"/>
    <w:rsid w:val="005620F1"/>
    <w:rsid w:val="005658FF"/>
    <w:rsid w:val="00566647"/>
    <w:rsid w:val="0057158D"/>
    <w:rsid w:val="00575F97"/>
    <w:rsid w:val="0057671C"/>
    <w:rsid w:val="00581C62"/>
    <w:rsid w:val="0059070C"/>
    <w:rsid w:val="00591987"/>
    <w:rsid w:val="005946F2"/>
    <w:rsid w:val="00594EBE"/>
    <w:rsid w:val="0059544A"/>
    <w:rsid w:val="00595E26"/>
    <w:rsid w:val="005A3AC4"/>
    <w:rsid w:val="005B3D9D"/>
    <w:rsid w:val="005C18D3"/>
    <w:rsid w:val="005C52AF"/>
    <w:rsid w:val="005C6AB5"/>
    <w:rsid w:val="005D0188"/>
    <w:rsid w:val="005D6D0B"/>
    <w:rsid w:val="005D7424"/>
    <w:rsid w:val="005E17FC"/>
    <w:rsid w:val="005E3D74"/>
    <w:rsid w:val="005F2061"/>
    <w:rsid w:val="005F6363"/>
    <w:rsid w:val="005F63F8"/>
    <w:rsid w:val="00602CB2"/>
    <w:rsid w:val="00614651"/>
    <w:rsid w:val="0062071A"/>
    <w:rsid w:val="00624A5D"/>
    <w:rsid w:val="0063759A"/>
    <w:rsid w:val="00640988"/>
    <w:rsid w:val="006476DB"/>
    <w:rsid w:val="00667DA3"/>
    <w:rsid w:val="00674DFD"/>
    <w:rsid w:val="006837BC"/>
    <w:rsid w:val="006A1214"/>
    <w:rsid w:val="006A1FCE"/>
    <w:rsid w:val="006A651C"/>
    <w:rsid w:val="006B779E"/>
    <w:rsid w:val="006C0791"/>
    <w:rsid w:val="006C7415"/>
    <w:rsid w:val="006D6EC5"/>
    <w:rsid w:val="006E362F"/>
    <w:rsid w:val="006F155F"/>
    <w:rsid w:val="006F1A56"/>
    <w:rsid w:val="006F20A7"/>
    <w:rsid w:val="006F4906"/>
    <w:rsid w:val="006F6299"/>
    <w:rsid w:val="00701135"/>
    <w:rsid w:val="00702FCB"/>
    <w:rsid w:val="00705DE0"/>
    <w:rsid w:val="0070759D"/>
    <w:rsid w:val="00714F66"/>
    <w:rsid w:val="007151EC"/>
    <w:rsid w:val="0071724F"/>
    <w:rsid w:val="00745CF0"/>
    <w:rsid w:val="00747774"/>
    <w:rsid w:val="00751AC2"/>
    <w:rsid w:val="0076623B"/>
    <w:rsid w:val="00771AA8"/>
    <w:rsid w:val="00775631"/>
    <w:rsid w:val="007760D3"/>
    <w:rsid w:val="00782781"/>
    <w:rsid w:val="00785438"/>
    <w:rsid w:val="0079098C"/>
    <w:rsid w:val="007A11B8"/>
    <w:rsid w:val="007A60FC"/>
    <w:rsid w:val="007B0830"/>
    <w:rsid w:val="007E227E"/>
    <w:rsid w:val="007E2A24"/>
    <w:rsid w:val="007E4FC9"/>
    <w:rsid w:val="007E7B1F"/>
    <w:rsid w:val="00803E5D"/>
    <w:rsid w:val="0080540D"/>
    <w:rsid w:val="008104E2"/>
    <w:rsid w:val="00823286"/>
    <w:rsid w:val="008238DF"/>
    <w:rsid w:val="00855B4A"/>
    <w:rsid w:val="0087256E"/>
    <w:rsid w:val="008A50FF"/>
    <w:rsid w:val="008A6551"/>
    <w:rsid w:val="008A7437"/>
    <w:rsid w:val="008B42D6"/>
    <w:rsid w:val="008B7122"/>
    <w:rsid w:val="008C0CC1"/>
    <w:rsid w:val="008C3887"/>
    <w:rsid w:val="008E4882"/>
    <w:rsid w:val="008E64D8"/>
    <w:rsid w:val="008E6E81"/>
    <w:rsid w:val="008F5C8C"/>
    <w:rsid w:val="00900982"/>
    <w:rsid w:val="00903358"/>
    <w:rsid w:val="009247B4"/>
    <w:rsid w:val="00924D6B"/>
    <w:rsid w:val="009265E9"/>
    <w:rsid w:val="00934A1B"/>
    <w:rsid w:val="009420FE"/>
    <w:rsid w:val="009432FD"/>
    <w:rsid w:val="00950DFA"/>
    <w:rsid w:val="0095426B"/>
    <w:rsid w:val="00963752"/>
    <w:rsid w:val="00966B79"/>
    <w:rsid w:val="0098373C"/>
    <w:rsid w:val="0098579D"/>
    <w:rsid w:val="00985B48"/>
    <w:rsid w:val="009872B1"/>
    <w:rsid w:val="00992EEC"/>
    <w:rsid w:val="009968DF"/>
    <w:rsid w:val="00997178"/>
    <w:rsid w:val="009B2BC7"/>
    <w:rsid w:val="009C6053"/>
    <w:rsid w:val="009C652E"/>
    <w:rsid w:val="009E531D"/>
    <w:rsid w:val="009F2230"/>
    <w:rsid w:val="00A121EA"/>
    <w:rsid w:val="00A276F7"/>
    <w:rsid w:val="00A32C74"/>
    <w:rsid w:val="00A35D8A"/>
    <w:rsid w:val="00A60B2F"/>
    <w:rsid w:val="00A613CA"/>
    <w:rsid w:val="00A6431B"/>
    <w:rsid w:val="00A66E22"/>
    <w:rsid w:val="00A67F29"/>
    <w:rsid w:val="00A718A9"/>
    <w:rsid w:val="00A838BE"/>
    <w:rsid w:val="00A85112"/>
    <w:rsid w:val="00A9089C"/>
    <w:rsid w:val="00A91DBB"/>
    <w:rsid w:val="00A9224F"/>
    <w:rsid w:val="00A97377"/>
    <w:rsid w:val="00AA3CFC"/>
    <w:rsid w:val="00AB7A70"/>
    <w:rsid w:val="00AC0AC9"/>
    <w:rsid w:val="00AC2F33"/>
    <w:rsid w:val="00AE0C9F"/>
    <w:rsid w:val="00AE7C9B"/>
    <w:rsid w:val="00AF0E49"/>
    <w:rsid w:val="00B00A4C"/>
    <w:rsid w:val="00B11D68"/>
    <w:rsid w:val="00B20C6E"/>
    <w:rsid w:val="00B2588B"/>
    <w:rsid w:val="00B35E24"/>
    <w:rsid w:val="00B419C7"/>
    <w:rsid w:val="00B423BE"/>
    <w:rsid w:val="00B45D26"/>
    <w:rsid w:val="00B467E9"/>
    <w:rsid w:val="00B53D65"/>
    <w:rsid w:val="00B55693"/>
    <w:rsid w:val="00B83A3F"/>
    <w:rsid w:val="00B94795"/>
    <w:rsid w:val="00B95429"/>
    <w:rsid w:val="00B95F65"/>
    <w:rsid w:val="00B97494"/>
    <w:rsid w:val="00BA5EBC"/>
    <w:rsid w:val="00BC000F"/>
    <w:rsid w:val="00BF2950"/>
    <w:rsid w:val="00BF5AB5"/>
    <w:rsid w:val="00BF60BF"/>
    <w:rsid w:val="00BF73F3"/>
    <w:rsid w:val="00C008BC"/>
    <w:rsid w:val="00C02AC6"/>
    <w:rsid w:val="00C1086B"/>
    <w:rsid w:val="00C139C1"/>
    <w:rsid w:val="00C1527B"/>
    <w:rsid w:val="00C1712C"/>
    <w:rsid w:val="00C211E6"/>
    <w:rsid w:val="00C221EF"/>
    <w:rsid w:val="00C23F0F"/>
    <w:rsid w:val="00C24EB8"/>
    <w:rsid w:val="00C30C12"/>
    <w:rsid w:val="00C4032C"/>
    <w:rsid w:val="00C676A0"/>
    <w:rsid w:val="00C704DC"/>
    <w:rsid w:val="00C771F7"/>
    <w:rsid w:val="00C806F9"/>
    <w:rsid w:val="00C977B9"/>
    <w:rsid w:val="00CA21EE"/>
    <w:rsid w:val="00CA258A"/>
    <w:rsid w:val="00CA2F8E"/>
    <w:rsid w:val="00CA7412"/>
    <w:rsid w:val="00CB559F"/>
    <w:rsid w:val="00CC7D6E"/>
    <w:rsid w:val="00CD74F9"/>
    <w:rsid w:val="00CE14A3"/>
    <w:rsid w:val="00CF44B2"/>
    <w:rsid w:val="00CF6BC7"/>
    <w:rsid w:val="00D15764"/>
    <w:rsid w:val="00D205D2"/>
    <w:rsid w:val="00D42B73"/>
    <w:rsid w:val="00D432B0"/>
    <w:rsid w:val="00D4485A"/>
    <w:rsid w:val="00D51844"/>
    <w:rsid w:val="00D51D8E"/>
    <w:rsid w:val="00D52E19"/>
    <w:rsid w:val="00D65F82"/>
    <w:rsid w:val="00D66D8C"/>
    <w:rsid w:val="00D71C6E"/>
    <w:rsid w:val="00D80196"/>
    <w:rsid w:val="00D8759F"/>
    <w:rsid w:val="00D928B4"/>
    <w:rsid w:val="00D96336"/>
    <w:rsid w:val="00D96DCD"/>
    <w:rsid w:val="00D97C98"/>
    <w:rsid w:val="00DB2ADB"/>
    <w:rsid w:val="00DB694B"/>
    <w:rsid w:val="00DC2BF7"/>
    <w:rsid w:val="00DF2A4B"/>
    <w:rsid w:val="00DF2C96"/>
    <w:rsid w:val="00E11697"/>
    <w:rsid w:val="00E13B75"/>
    <w:rsid w:val="00E17FEB"/>
    <w:rsid w:val="00E22AB2"/>
    <w:rsid w:val="00E33D71"/>
    <w:rsid w:val="00E34C0E"/>
    <w:rsid w:val="00E41011"/>
    <w:rsid w:val="00E41426"/>
    <w:rsid w:val="00E4467D"/>
    <w:rsid w:val="00E45944"/>
    <w:rsid w:val="00E45B01"/>
    <w:rsid w:val="00E465DE"/>
    <w:rsid w:val="00E53209"/>
    <w:rsid w:val="00E61322"/>
    <w:rsid w:val="00E70C01"/>
    <w:rsid w:val="00E9082B"/>
    <w:rsid w:val="00E90DFA"/>
    <w:rsid w:val="00EA14C1"/>
    <w:rsid w:val="00EA2DCF"/>
    <w:rsid w:val="00EA711C"/>
    <w:rsid w:val="00EB2BEF"/>
    <w:rsid w:val="00ED38DC"/>
    <w:rsid w:val="00ED62C7"/>
    <w:rsid w:val="00EE0236"/>
    <w:rsid w:val="00EE0448"/>
    <w:rsid w:val="00F069DD"/>
    <w:rsid w:val="00F07868"/>
    <w:rsid w:val="00F133F5"/>
    <w:rsid w:val="00F274F0"/>
    <w:rsid w:val="00F30831"/>
    <w:rsid w:val="00F36986"/>
    <w:rsid w:val="00F479CB"/>
    <w:rsid w:val="00F5007C"/>
    <w:rsid w:val="00F54BC5"/>
    <w:rsid w:val="00F6033B"/>
    <w:rsid w:val="00F60462"/>
    <w:rsid w:val="00F718B4"/>
    <w:rsid w:val="00F83198"/>
    <w:rsid w:val="00F90CD0"/>
    <w:rsid w:val="00FA0FBB"/>
    <w:rsid w:val="00FC5A0F"/>
    <w:rsid w:val="00FD3D4A"/>
    <w:rsid w:val="00FE03B7"/>
    <w:rsid w:val="00FE043F"/>
    <w:rsid w:val="00FE09E6"/>
    <w:rsid w:val="00FE1057"/>
    <w:rsid w:val="00FE20ED"/>
    <w:rsid w:val="00FE641E"/>
    <w:rsid w:val="00FF28AE"/>
    <w:rsid w:val="00FF5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34BD"/>
    <w:pPr>
      <w:widowControl w:val="0"/>
      <w:autoSpaceDE w:val="0"/>
      <w:autoSpaceDN w:val="0"/>
      <w:adjustRightInd w:val="0"/>
    </w:pPr>
    <w:rPr>
      <w:szCs w:val="24"/>
    </w:rPr>
  </w:style>
  <w:style w:type="paragraph" w:styleId="Heading1">
    <w:name w:val="heading 1"/>
    <w:basedOn w:val="Normal"/>
    <w:next w:val="Normal"/>
    <w:qFormat/>
    <w:pPr>
      <w:keepNext/>
      <w:numPr>
        <w:numId w:val="5"/>
      </w:numPr>
      <w:tabs>
        <w:tab w:val="left" w:pos="-1440"/>
      </w:tabs>
      <w:outlineLvl w:val="0"/>
    </w:pPr>
    <w:rPr>
      <w:rFonts w:ascii="Univers" w:hAnsi="Univers"/>
      <w:sz w:val="24"/>
    </w:rPr>
  </w:style>
  <w:style w:type="paragraph" w:styleId="Heading2">
    <w:name w:val="heading 2"/>
    <w:basedOn w:val="Normal"/>
    <w:next w:val="Normal"/>
    <w:qFormat/>
    <w:pPr>
      <w:keepNext/>
      <w:numPr>
        <w:ilvl w:val="1"/>
        <w:numId w:val="5"/>
      </w:numPr>
      <w:tabs>
        <w:tab w:val="center" w:pos="4221"/>
        <w:tab w:val="left" w:pos="4842"/>
        <w:tab w:val="left" w:pos="5562"/>
        <w:tab w:val="left" w:pos="6282"/>
        <w:tab w:val="left" w:pos="7002"/>
        <w:tab w:val="left" w:pos="7722"/>
        <w:tab w:val="left" w:pos="8442"/>
      </w:tabs>
      <w:jc w:val="center"/>
      <w:outlineLvl w:val="1"/>
    </w:pPr>
    <w:rPr>
      <w:rFonts w:ascii="CG Times" w:hAnsi="CG Times"/>
      <w:b/>
      <w:bCs/>
      <w:sz w:val="28"/>
      <w:szCs w:val="28"/>
    </w:rPr>
  </w:style>
  <w:style w:type="paragraph" w:styleId="Heading3">
    <w:name w:val="heading 3"/>
    <w:basedOn w:val="Normal"/>
    <w:next w:val="Normal"/>
    <w:qFormat/>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5"/>
      </w:numPr>
      <w:spacing w:before="240" w:after="60"/>
      <w:outlineLvl w:val="3"/>
    </w:pPr>
    <w:rPr>
      <w:b/>
      <w:bCs/>
      <w:sz w:val="28"/>
      <w:szCs w:val="28"/>
    </w:rPr>
  </w:style>
  <w:style w:type="paragraph" w:styleId="Heading5">
    <w:name w:val="heading 5"/>
    <w:basedOn w:val="Normal"/>
    <w:next w:val="Normal"/>
    <w:qFormat/>
    <w:pPr>
      <w:keepNext/>
      <w:numPr>
        <w:ilvl w:val="4"/>
        <w:numId w:val="5"/>
      </w:numPr>
      <w:tabs>
        <w:tab w:val="left" w:pos="-1440"/>
      </w:tabs>
      <w:outlineLvl w:val="4"/>
    </w:pPr>
    <w:rPr>
      <w:sz w:val="24"/>
    </w:rPr>
  </w:style>
  <w:style w:type="paragraph" w:styleId="Heading6">
    <w:name w:val="heading 6"/>
    <w:basedOn w:val="Normal"/>
    <w:next w:val="Normal"/>
    <w:qFormat/>
    <w:pPr>
      <w:keepNext/>
      <w:numPr>
        <w:ilvl w:val="5"/>
        <w:numId w:val="5"/>
      </w:numPr>
      <w:tabs>
        <w:tab w:val="left" w:pos="-1440"/>
      </w:tabs>
      <w:outlineLvl w:val="5"/>
    </w:pPr>
    <w:rPr>
      <w:sz w:val="24"/>
    </w:rPr>
  </w:style>
  <w:style w:type="paragraph" w:styleId="Heading7">
    <w:name w:val="heading 7"/>
    <w:basedOn w:val="Normal"/>
    <w:next w:val="Normal"/>
    <w:qFormat/>
    <w:pPr>
      <w:keepNext/>
      <w:numPr>
        <w:ilvl w:val="6"/>
        <w:numId w:val="5"/>
      </w:numPr>
      <w:tabs>
        <w:tab w:val="left" w:pos="-1440"/>
      </w:tabs>
      <w:outlineLvl w:val="6"/>
    </w:pPr>
    <w:rPr>
      <w:sz w:val="24"/>
      <w:szCs w:val="22"/>
    </w:rPr>
  </w:style>
  <w:style w:type="paragraph" w:styleId="Heading8">
    <w:name w:val="heading 8"/>
    <w:basedOn w:val="Normal"/>
    <w:next w:val="Normal"/>
    <w:qFormat/>
    <w:pPr>
      <w:keepNext/>
      <w:numPr>
        <w:ilvl w:val="7"/>
        <w:numId w:val="5"/>
      </w:numPr>
      <w:outlineLvl w:val="7"/>
    </w:pPr>
    <w:rPr>
      <w:sz w:val="24"/>
    </w:rPr>
  </w:style>
  <w:style w:type="paragraph" w:styleId="Heading9">
    <w:name w:val="heading 9"/>
    <w:basedOn w:val="Normal"/>
    <w:next w:val="Normal"/>
    <w:qFormat/>
    <w:pPr>
      <w:keepNext/>
      <w:numPr>
        <w:ilvl w:val="8"/>
        <w:numId w:val="5"/>
      </w:numPr>
      <w:tabs>
        <w:tab w:val="left" w:pos="-720"/>
      </w:tabs>
      <w:spacing w:line="312" w:lineRule="auto"/>
      <w:outlineLvl w:val="8"/>
    </w:pPr>
    <w:rPr>
      <w:sz w:val="24"/>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styleId="FootnoteReference">
    <w:name w:val="footnote reference"/>
    <w:semiHidden/>
  </w:style>
  <w:style w:type="paragraph" w:customStyle="1" w:styleId="Level2">
    <w:name w:val="Level 2"/>
    <w:basedOn w:val="Normal"/>
    <w:pPr>
      <w:numPr>
        <w:ilvl w:val="1"/>
        <w:numId w:val="1"/>
      </w:numPr>
      <w:ind w:left="1440" w:hanging="720"/>
      <w:outlineLvl w:val="1"/>
    </w:pPr>
  </w:style>
  <w:style w:type="paragraph" w:styleId="BodyTextIndent">
    <w:name w:val="Body Text Indent"/>
    <w:basedOn w:val="Normal"/>
    <w:pPr>
      <w:tabs>
        <w:tab w:val="left" w:pos="-1440"/>
      </w:tabs>
      <w:ind w:left="1440"/>
    </w:pPr>
    <w:rPr>
      <w:sz w:val="24"/>
      <w:szCs w:val="22"/>
    </w:rPr>
  </w:style>
  <w:style w:type="paragraph" w:styleId="TOC2">
    <w:name w:val="toc 2"/>
    <w:basedOn w:val="Normal"/>
    <w:next w:val="Normal"/>
    <w:autoRedefine/>
    <w:semiHidden/>
    <w:pPr>
      <w:ind w:left="200"/>
    </w:pPr>
  </w:style>
  <w:style w:type="paragraph" w:styleId="TOC1">
    <w:name w:val="toc 1"/>
    <w:basedOn w:val="Normal"/>
    <w:next w:val="Heading1"/>
    <w:autoRedefine/>
    <w:semiHidden/>
    <w:rsid w:val="00051155"/>
    <w:rPr>
      <w:b/>
      <w:sz w:val="24"/>
      <w:lang w:val="fr-FR"/>
    </w:r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2">
    <w:name w:val="Body Text Indent 2"/>
    <w:basedOn w:val="Normal"/>
    <w:pPr>
      <w:ind w:left="720"/>
    </w:pPr>
    <w:rPr>
      <w:sz w:val="24"/>
    </w:rPr>
  </w:style>
  <w:style w:type="paragraph" w:styleId="BodyTextIndent3">
    <w:name w:val="Body Text Indent 3"/>
    <w:basedOn w:val="Normal"/>
    <w:pPr>
      <w:tabs>
        <w:tab w:val="left" w:pos="-1440"/>
      </w:tabs>
      <w:ind w:left="1080" w:hanging="360"/>
    </w:pPr>
    <w:rPr>
      <w:sz w:val="24"/>
      <w:szCs w:val="22"/>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styleId="BodyText2">
    <w:name w:val="Body Text 2"/>
    <w:basedOn w:val="Normal"/>
    <w:pPr>
      <w:tabs>
        <w:tab w:val="left" w:pos="-1368"/>
        <w:tab w:val="left" w:pos="1368"/>
        <w:tab w:val="left" w:pos="2088"/>
        <w:tab w:val="left" w:pos="2808"/>
        <w:tab w:val="left" w:pos="3528"/>
        <w:tab w:val="left" w:pos="4248"/>
        <w:tab w:val="left" w:pos="4968"/>
        <w:tab w:val="left" w:pos="5688"/>
      </w:tabs>
      <w:autoSpaceDE/>
      <w:autoSpaceDN/>
      <w:adjustRightInd/>
      <w:jc w:val="both"/>
    </w:pPr>
    <w:rPr>
      <w:snapToGrid w:val="0"/>
      <w:sz w:val="24"/>
    </w:rPr>
  </w:style>
  <w:style w:type="paragraph" w:styleId="BodyText">
    <w:name w:val="Body Text"/>
    <w:basedOn w:val="Normal"/>
    <w:rPr>
      <w:b/>
      <w:bCs/>
      <w:sz w:val="24"/>
    </w:rPr>
  </w:style>
  <w:style w:type="paragraph" w:styleId="Title">
    <w:name w:val="Title"/>
    <w:basedOn w:val="Normal"/>
    <w:qFormat/>
    <w:pPr>
      <w:widowControl/>
      <w:autoSpaceDE/>
      <w:autoSpaceDN/>
      <w:adjustRightInd/>
      <w:jc w:val="center"/>
    </w:pPr>
    <w:rPr>
      <w:rFonts w:ascii="Univers" w:hAnsi="Univers"/>
      <w:b/>
      <w:bCs/>
      <w:sz w:val="28"/>
      <w:szCs w:val="28"/>
    </w:rPr>
  </w:style>
  <w:style w:type="paragraph" w:styleId="Subtitle">
    <w:name w:val="Subtitle"/>
    <w:basedOn w:val="Normal"/>
    <w:qFormat/>
    <w:pPr>
      <w:widowControl/>
      <w:autoSpaceDE/>
      <w:autoSpaceDN/>
      <w:adjustRightInd/>
      <w:jc w:val="center"/>
    </w:pPr>
    <w:rPr>
      <w:rFonts w:ascii="Univers" w:hAnsi="Univers"/>
      <w:b/>
      <w:bCs/>
      <w:sz w:val="28"/>
      <w:szCs w:val="28"/>
      <w:u w:val="single"/>
    </w:rPr>
  </w:style>
  <w:style w:type="table" w:styleId="TableGrid">
    <w:name w:val="Table Grid"/>
    <w:basedOn w:val="TableNormal"/>
    <w:rsid w:val="00D20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semiHidden/>
    <w:rsid w:val="00B423BE"/>
    <w:rPr>
      <w:rFonts w:ascii="Tahoma" w:hAnsi="Tahoma" w:cs="Tahoma"/>
      <w:sz w:val="16"/>
      <w:szCs w:val="16"/>
    </w:rPr>
  </w:style>
  <w:style w:type="paragraph" w:customStyle="1" w:styleId="level1">
    <w:name w:val="_level1"/>
    <w:basedOn w:val="Normal"/>
    <w:link w:val="level1Char"/>
    <w:rsid w:val="00380250"/>
    <w:pPr>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autoSpaceDN/>
      <w:adjustRightInd/>
      <w:ind w:left="360" w:hanging="360"/>
    </w:pPr>
    <w:rPr>
      <w:sz w:val="24"/>
      <w:szCs w:val="20"/>
    </w:rPr>
  </w:style>
  <w:style w:type="character" w:customStyle="1" w:styleId="Hypertext">
    <w:name w:val="Hypertext"/>
    <w:rsid w:val="009E531D"/>
    <w:rPr>
      <w:color w:val="0000FF"/>
      <w:u w:val="single"/>
    </w:rPr>
  </w:style>
  <w:style w:type="character" w:styleId="CommentReference">
    <w:name w:val="annotation reference"/>
    <w:basedOn w:val="DefaultParagraphFont"/>
    <w:semiHidden/>
    <w:rsid w:val="009E531D"/>
    <w:rPr>
      <w:sz w:val="16"/>
      <w:szCs w:val="16"/>
    </w:rPr>
  </w:style>
  <w:style w:type="paragraph" w:styleId="CommentText">
    <w:name w:val="annotation text"/>
    <w:basedOn w:val="Normal"/>
    <w:semiHidden/>
    <w:rsid w:val="009E531D"/>
    <w:pPr>
      <w:widowControl/>
      <w:autoSpaceDE/>
      <w:autoSpaceDN/>
      <w:adjustRightInd/>
    </w:pPr>
    <w:rPr>
      <w:szCs w:val="20"/>
    </w:rPr>
  </w:style>
  <w:style w:type="paragraph" w:styleId="CommentSubject">
    <w:name w:val="annotation subject"/>
    <w:basedOn w:val="CommentText"/>
    <w:next w:val="CommentText"/>
    <w:semiHidden/>
    <w:rsid w:val="008C3887"/>
    <w:pPr>
      <w:widowControl w:val="0"/>
      <w:autoSpaceDE w:val="0"/>
      <w:autoSpaceDN w:val="0"/>
      <w:adjustRightInd w:val="0"/>
    </w:pPr>
    <w:rPr>
      <w:b/>
      <w:bCs/>
    </w:rPr>
  </w:style>
  <w:style w:type="character" w:customStyle="1" w:styleId="level1Char">
    <w:name w:val="_level1 Char"/>
    <w:basedOn w:val="DefaultParagraphFont"/>
    <w:link w:val="level1"/>
    <w:rsid w:val="00E22AB2"/>
    <w:rPr>
      <w:sz w:val="24"/>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arteaga@ca.blm.go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A08BB-76DF-4812-86B3-A4FC68A3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856</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U.S. Geological Survey</Company>
  <LinksUpToDate>false</LinksUpToDate>
  <CharactersWithSpaces>6211</CharactersWithSpaces>
  <SharedDoc>false</SharedDoc>
  <HLinks>
    <vt:vector size="6" baseType="variant">
      <vt:variant>
        <vt:i4>4653119</vt:i4>
      </vt:variant>
      <vt:variant>
        <vt:i4>3</vt:i4>
      </vt:variant>
      <vt:variant>
        <vt:i4>0</vt:i4>
      </vt:variant>
      <vt:variant>
        <vt:i4>5</vt:i4>
      </vt:variant>
      <vt:variant>
        <vt:lpwstr>mailto:jarteaga@ca.blm.gov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Peter Lyttle</dc:creator>
  <cp:keywords/>
  <dc:description/>
  <cp:lastModifiedBy>tthaler</cp:lastModifiedBy>
  <cp:revision>4</cp:revision>
  <cp:lastPrinted>2008-07-28T22:19:00Z</cp:lastPrinted>
  <dcterms:created xsi:type="dcterms:W3CDTF">2008-07-28T22:09:00Z</dcterms:created>
  <dcterms:modified xsi:type="dcterms:W3CDTF">2008-07-28T22:24:00Z</dcterms:modified>
</cp:coreProperties>
</file>