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E39" w:rsidRDefault="00F65E39" w:rsidP="00F65E39">
      <w:pPr>
        <w:spacing w:after="0"/>
      </w:pPr>
      <w:r>
        <w:t xml:space="preserve">Date: </w:t>
      </w:r>
      <w:r w:rsidR="007667B4">
        <w:tab/>
      </w:r>
      <w:r>
        <w:t>October 15, 2008</w:t>
      </w:r>
    </w:p>
    <w:p w:rsidR="00F65E39" w:rsidRDefault="007667B4" w:rsidP="00D95A5A">
      <w:pPr>
        <w:spacing w:after="0"/>
        <w:ind w:left="720" w:hanging="720"/>
      </w:pPr>
      <w:r>
        <w:t>Topic:</w:t>
      </w:r>
      <w:r>
        <w:tab/>
        <w:t xml:space="preserve">CTCAE v3.0 Help Desk Tickets – </w:t>
      </w:r>
      <w:r w:rsidR="00D95A5A">
        <w:t xml:space="preserve">WG # 8 </w:t>
      </w:r>
      <w:r>
        <w:t xml:space="preserve">SOC </w:t>
      </w:r>
      <w:r w:rsidR="00F65E39">
        <w:t>Skin</w:t>
      </w:r>
      <w:r>
        <w:t xml:space="preserve"> disorders</w:t>
      </w:r>
      <w:r w:rsidR="00D95A5A">
        <w:t>; Musculoskeletal and connective tissue disorders</w:t>
      </w:r>
    </w:p>
    <w:p w:rsidR="007667B4" w:rsidRDefault="007667B4" w:rsidP="00F65E39">
      <w:pPr>
        <w:spacing w:after="0"/>
      </w:pPr>
      <w:r>
        <w:t xml:space="preserve">From: </w:t>
      </w:r>
      <w:r>
        <w:tab/>
        <w:t>Ann Setser</w:t>
      </w:r>
    </w:p>
    <w:p w:rsidR="00F65E39" w:rsidRDefault="00F65E39"/>
    <w:p w:rsidR="00F65E39" w:rsidRDefault="007667B4">
      <w:r>
        <w:t>---</w:t>
      </w:r>
      <w:r w:rsidR="00F65E39" w:rsidRPr="00F65E39">
        <w:t>currently going over our default grading rules and was somewhat surprised to see that while there is no Grade 4 for Acne there is Grade 5 - Death.</w:t>
      </w:r>
    </w:p>
    <w:p w:rsidR="005760BA" w:rsidRDefault="005760BA">
      <w:r>
        <w:t>Requests for addition to CTCAE v4.0:</w:t>
      </w:r>
    </w:p>
    <w:p w:rsidR="00F65E39" w:rsidRDefault="005760BA" w:rsidP="00AE343D">
      <w:pPr>
        <w:pStyle w:val="ListParagraph"/>
        <w:numPr>
          <w:ilvl w:val="0"/>
          <w:numId w:val="1"/>
        </w:numPr>
      </w:pPr>
      <w:proofErr w:type="spellStart"/>
      <w:r w:rsidRPr="005760BA">
        <w:t>Livedo</w:t>
      </w:r>
      <w:proofErr w:type="spellEnd"/>
      <w:r w:rsidRPr="005760BA">
        <w:t xml:space="preserve"> </w:t>
      </w:r>
      <w:proofErr w:type="spellStart"/>
      <w:r w:rsidRPr="005760BA">
        <w:t>reticularis</w:t>
      </w:r>
      <w:proofErr w:type="spellEnd"/>
      <w:r w:rsidR="007667B4">
        <w:t xml:space="preserve"> </w:t>
      </w:r>
      <w:proofErr w:type="spellStart"/>
      <w:r w:rsidR="007667B4">
        <w:t>MedDRA</w:t>
      </w:r>
      <w:proofErr w:type="spellEnd"/>
      <w:r w:rsidR="007667B4">
        <w:t xml:space="preserve"> LLT &amp; PT</w:t>
      </w:r>
    </w:p>
    <w:p w:rsidR="00AE343D" w:rsidRDefault="00AE343D" w:rsidP="00AE343D">
      <w:pPr>
        <w:pStyle w:val="ListParagraph"/>
        <w:numPr>
          <w:ilvl w:val="0"/>
          <w:numId w:val="1"/>
        </w:numPr>
      </w:pPr>
      <w:r>
        <w:t xml:space="preserve">Dermatitis – not </w:t>
      </w:r>
      <w:r w:rsidR="003D72A9">
        <w:t xml:space="preserve">a </w:t>
      </w:r>
      <w:proofErr w:type="spellStart"/>
      <w:r w:rsidR="003D72A9">
        <w:t>MedDRA</w:t>
      </w:r>
      <w:proofErr w:type="spellEnd"/>
      <w:r w:rsidR="003D72A9">
        <w:t xml:space="preserve"> term.  Options </w:t>
      </w:r>
      <w:proofErr w:type="spellStart"/>
      <w:r w:rsidR="003D72A9">
        <w:t>MedDRA</w:t>
      </w:r>
      <w:proofErr w:type="spellEnd"/>
      <w:r w:rsidR="003D72A9">
        <w:t xml:space="preserve"> LLT &amp; PTs:</w:t>
      </w:r>
    </w:p>
    <w:p w:rsidR="00AE343D" w:rsidRDefault="00AE343D" w:rsidP="00AE343D">
      <w:pPr>
        <w:pStyle w:val="ListParagraph"/>
        <w:numPr>
          <w:ilvl w:val="1"/>
          <w:numId w:val="1"/>
        </w:numPr>
      </w:pPr>
      <w:r w:rsidRPr="00AE343D">
        <w:t>Application site dermatitis</w:t>
      </w:r>
    </w:p>
    <w:p w:rsidR="00AE343D" w:rsidRDefault="00AE343D" w:rsidP="00AE343D">
      <w:pPr>
        <w:pStyle w:val="ListParagraph"/>
        <w:numPr>
          <w:ilvl w:val="1"/>
          <w:numId w:val="1"/>
        </w:numPr>
      </w:pPr>
      <w:r w:rsidRPr="00AE343D">
        <w:t>Infusion site dermatitis</w:t>
      </w:r>
    </w:p>
    <w:p w:rsidR="00AE343D" w:rsidRDefault="00AE343D" w:rsidP="00AE343D">
      <w:pPr>
        <w:pStyle w:val="ListParagraph"/>
        <w:numPr>
          <w:ilvl w:val="1"/>
          <w:numId w:val="1"/>
        </w:numPr>
      </w:pPr>
      <w:r w:rsidRPr="00AE343D">
        <w:t>Injection site dermatitis</w:t>
      </w:r>
    </w:p>
    <w:p w:rsidR="00AE343D" w:rsidRDefault="00AE343D" w:rsidP="00AE343D">
      <w:pPr>
        <w:pStyle w:val="ListParagraph"/>
        <w:numPr>
          <w:ilvl w:val="1"/>
          <w:numId w:val="1"/>
        </w:numPr>
      </w:pPr>
      <w:r w:rsidRPr="00AE343D">
        <w:t xml:space="preserve">Interstitial </w:t>
      </w:r>
      <w:proofErr w:type="spellStart"/>
      <w:r w:rsidRPr="00AE343D">
        <w:t>granulomatous</w:t>
      </w:r>
      <w:proofErr w:type="spellEnd"/>
      <w:r w:rsidRPr="00AE343D">
        <w:t xml:space="preserve"> dermatitis</w:t>
      </w:r>
    </w:p>
    <w:p w:rsidR="00AE343D" w:rsidRDefault="00AE343D" w:rsidP="00AE343D">
      <w:pPr>
        <w:pStyle w:val="ListParagraph"/>
        <w:numPr>
          <w:ilvl w:val="1"/>
          <w:numId w:val="1"/>
        </w:numPr>
      </w:pPr>
      <w:proofErr w:type="spellStart"/>
      <w:r w:rsidRPr="00AE343D">
        <w:t>Perivascular</w:t>
      </w:r>
      <w:proofErr w:type="spellEnd"/>
      <w:r w:rsidRPr="00AE343D">
        <w:t xml:space="preserve"> dermatitis</w:t>
      </w:r>
    </w:p>
    <w:p w:rsidR="00AE343D" w:rsidRDefault="00AE343D" w:rsidP="00AE343D">
      <w:pPr>
        <w:pStyle w:val="ListParagraph"/>
        <w:numPr>
          <w:ilvl w:val="1"/>
          <w:numId w:val="1"/>
        </w:numPr>
      </w:pPr>
      <w:proofErr w:type="spellStart"/>
      <w:r w:rsidRPr="00AE343D">
        <w:t>Seborrhoeic</w:t>
      </w:r>
      <w:proofErr w:type="spellEnd"/>
      <w:r w:rsidRPr="00AE343D">
        <w:t xml:space="preserve"> dermatitis</w:t>
      </w:r>
    </w:p>
    <w:p w:rsidR="00AE343D" w:rsidRDefault="00AE343D" w:rsidP="00AE343D">
      <w:pPr>
        <w:pStyle w:val="ListParagraph"/>
        <w:numPr>
          <w:ilvl w:val="1"/>
          <w:numId w:val="1"/>
        </w:numPr>
      </w:pPr>
      <w:r w:rsidRPr="00AE343D">
        <w:t>Stasis dermatitis</w:t>
      </w:r>
    </w:p>
    <w:p w:rsidR="00090402" w:rsidRDefault="00090402" w:rsidP="00090402">
      <w:pPr>
        <w:pStyle w:val="ListParagraph"/>
        <w:numPr>
          <w:ilvl w:val="0"/>
          <w:numId w:val="1"/>
        </w:numPr>
      </w:pPr>
      <w:r w:rsidRPr="00090402">
        <w:t xml:space="preserve">Acute febrile </w:t>
      </w:r>
      <w:proofErr w:type="spellStart"/>
      <w:r w:rsidRPr="00090402">
        <w:t>neutrophilic</w:t>
      </w:r>
      <w:proofErr w:type="spellEnd"/>
      <w:r w:rsidRPr="00090402">
        <w:t xml:space="preserve"> </w:t>
      </w:r>
      <w:proofErr w:type="spellStart"/>
      <w:r w:rsidRPr="00090402">
        <w:t>dermatosis</w:t>
      </w:r>
      <w:proofErr w:type="spellEnd"/>
      <w:r>
        <w:t xml:space="preserve"> – </w:t>
      </w:r>
      <w:proofErr w:type="spellStart"/>
      <w:r>
        <w:t>MedDRA</w:t>
      </w:r>
      <w:proofErr w:type="spellEnd"/>
      <w:r>
        <w:t xml:space="preserve"> LLT &amp; PT</w:t>
      </w:r>
    </w:p>
    <w:p w:rsidR="004C507B" w:rsidRDefault="004C507B" w:rsidP="00090402">
      <w:pPr>
        <w:pStyle w:val="ListParagraph"/>
        <w:numPr>
          <w:ilvl w:val="0"/>
          <w:numId w:val="1"/>
        </w:numPr>
      </w:pPr>
      <w:r w:rsidRPr="004C507B">
        <w:t>Eczema</w:t>
      </w:r>
      <w:r>
        <w:t xml:space="preserve"> = </w:t>
      </w:r>
      <w:proofErr w:type="spellStart"/>
      <w:r>
        <w:t>MedDRA</w:t>
      </w:r>
      <w:proofErr w:type="spellEnd"/>
      <w:r>
        <w:t xml:space="preserve"> LLT &amp; PT</w:t>
      </w:r>
    </w:p>
    <w:p w:rsidR="003C1C4B" w:rsidRDefault="003C1C4B" w:rsidP="00090402">
      <w:pPr>
        <w:pStyle w:val="ListParagraph"/>
        <w:numPr>
          <w:ilvl w:val="0"/>
          <w:numId w:val="1"/>
        </w:numPr>
      </w:pPr>
      <w:proofErr w:type="spellStart"/>
      <w:r w:rsidRPr="003C1C4B">
        <w:t>Piloerection</w:t>
      </w:r>
      <w:proofErr w:type="spellEnd"/>
      <w:r>
        <w:t xml:space="preserve"> = </w:t>
      </w:r>
      <w:proofErr w:type="spellStart"/>
      <w:r>
        <w:t>MedDRA</w:t>
      </w:r>
      <w:proofErr w:type="spellEnd"/>
      <w:r>
        <w:t xml:space="preserve"> LLT &amp; PT</w:t>
      </w:r>
    </w:p>
    <w:p w:rsidR="00A60203" w:rsidRDefault="00A60203" w:rsidP="00090402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 w:rsidRPr="00A60203">
        <w:t>Scar pain</w:t>
      </w:r>
      <w:r>
        <w:t xml:space="preserve"> = </w:t>
      </w:r>
      <w:proofErr w:type="spellStart"/>
      <w:r>
        <w:t>MedDRA</w:t>
      </w:r>
      <w:proofErr w:type="spellEnd"/>
      <w:r>
        <w:t xml:space="preserve"> LLT &amp; PT</w:t>
      </w:r>
    </w:p>
    <w:p w:rsidR="00956B35" w:rsidRDefault="00956B35" w:rsidP="00956B35">
      <w:pPr>
        <w:spacing w:after="0"/>
      </w:pPr>
      <w:r>
        <w:t>Topic:</w:t>
      </w:r>
      <w:r>
        <w:tab/>
        <w:t>CTCAE Help Desk Tickets – SOC Musculoskeletal</w:t>
      </w:r>
    </w:p>
    <w:p w:rsidR="00956B35" w:rsidRDefault="00956B35" w:rsidP="00956B35">
      <w:pPr>
        <w:spacing w:after="0"/>
      </w:pPr>
    </w:p>
    <w:p w:rsidR="00956B35" w:rsidRDefault="00956B35" w:rsidP="00956B35">
      <w:pPr>
        <w:spacing w:after="0"/>
      </w:pPr>
      <w:r>
        <w:t>Consider adding to CTCAE v4.0:</w:t>
      </w:r>
    </w:p>
    <w:p w:rsidR="00956B35" w:rsidRDefault="00956B35" w:rsidP="00956B35">
      <w:pPr>
        <w:pStyle w:val="ListParagraph"/>
        <w:numPr>
          <w:ilvl w:val="0"/>
          <w:numId w:val="2"/>
        </w:numPr>
        <w:spacing w:after="0"/>
      </w:pPr>
      <w:r w:rsidRPr="007C2E70">
        <w:t>Fibromyalgia</w:t>
      </w:r>
      <w:r>
        <w:t xml:space="preserve"> </w:t>
      </w:r>
      <w:proofErr w:type="spellStart"/>
      <w:r>
        <w:t>MedDRA</w:t>
      </w:r>
      <w:proofErr w:type="spellEnd"/>
      <w:r>
        <w:t xml:space="preserve"> LLT &amp; PT</w:t>
      </w:r>
    </w:p>
    <w:p w:rsidR="00956B35" w:rsidRDefault="00956B35" w:rsidP="00956B35">
      <w:pPr>
        <w:pStyle w:val="ListParagraph"/>
        <w:numPr>
          <w:ilvl w:val="0"/>
          <w:numId w:val="2"/>
        </w:numPr>
        <w:spacing w:after="0"/>
      </w:pPr>
      <w:r w:rsidRPr="007B2506">
        <w:t>Lumbago</w:t>
      </w:r>
      <w:r>
        <w:t xml:space="preserve"> LLT for PT Back pain</w:t>
      </w:r>
    </w:p>
    <w:p w:rsidR="00956B35" w:rsidRDefault="00956B35" w:rsidP="00956B35">
      <w:pPr>
        <w:pStyle w:val="ListParagraph"/>
        <w:numPr>
          <w:ilvl w:val="0"/>
          <w:numId w:val="2"/>
        </w:numPr>
        <w:spacing w:after="0"/>
      </w:pPr>
      <w:r w:rsidRPr="007B2506">
        <w:t>Inguinal pain</w:t>
      </w:r>
      <w:r>
        <w:t xml:space="preserve">  - not in </w:t>
      </w:r>
      <w:proofErr w:type="spellStart"/>
      <w:r>
        <w:t>MedDRA</w:t>
      </w:r>
      <w:proofErr w:type="spellEnd"/>
    </w:p>
    <w:p w:rsidR="00956B35" w:rsidRDefault="00956B35" w:rsidP="00956B35"/>
    <w:p w:rsidR="00956B35" w:rsidRDefault="00956B35" w:rsidP="00956B35">
      <w:pPr>
        <w:ind w:left="360"/>
      </w:pPr>
    </w:p>
    <w:sectPr w:rsidR="00956B35" w:rsidSect="00304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D6FE7"/>
    <w:multiLevelType w:val="hybridMultilevel"/>
    <w:tmpl w:val="9C12F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CB1B4B"/>
    <w:multiLevelType w:val="hybridMultilevel"/>
    <w:tmpl w:val="6818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5E39"/>
    <w:rsid w:val="00090402"/>
    <w:rsid w:val="002122A0"/>
    <w:rsid w:val="003042DE"/>
    <w:rsid w:val="003C1C4B"/>
    <w:rsid w:val="003D72A9"/>
    <w:rsid w:val="004C507B"/>
    <w:rsid w:val="004E5E3E"/>
    <w:rsid w:val="005760BA"/>
    <w:rsid w:val="0063518F"/>
    <w:rsid w:val="007667B4"/>
    <w:rsid w:val="00956B35"/>
    <w:rsid w:val="00A60203"/>
    <w:rsid w:val="00AE343D"/>
    <w:rsid w:val="00D95A5A"/>
    <w:rsid w:val="00E96CFC"/>
    <w:rsid w:val="00F65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4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2008-11-04T15:40:00Z</dcterms:created>
  <dcterms:modified xsi:type="dcterms:W3CDTF">2008-11-04T15:40:00Z</dcterms:modified>
</cp:coreProperties>
</file>