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2DE" w:rsidRDefault="00E51BBC" w:rsidP="00CE62DF">
      <w:pPr>
        <w:spacing w:after="0"/>
      </w:pPr>
      <w:r>
        <w:t xml:space="preserve">Date: </w:t>
      </w:r>
      <w:r w:rsidR="00CE62DF">
        <w:tab/>
      </w:r>
      <w:r>
        <w:t>October 15, 2008</w:t>
      </w:r>
    </w:p>
    <w:p w:rsidR="00E51BBC" w:rsidRDefault="00CE62DF" w:rsidP="00CE62DF">
      <w:pPr>
        <w:spacing w:after="0"/>
      </w:pPr>
      <w:r>
        <w:t>Topic</w:t>
      </w:r>
      <w:r w:rsidR="00316FF4">
        <w:t>:</w:t>
      </w:r>
      <w:r w:rsidR="00316FF4">
        <w:tab/>
        <w:t xml:space="preserve">CTCAE v3.0 Help Desk Tickets: WG #1: </w:t>
      </w:r>
      <w:r w:rsidR="00E51BBC">
        <w:t xml:space="preserve">SOC:  </w:t>
      </w:r>
      <w:r w:rsidR="00E51BBC" w:rsidRPr="00E51BBC">
        <w:t>Blood and lymphatic system disorders</w:t>
      </w:r>
    </w:p>
    <w:p w:rsidR="00CE62DF" w:rsidRDefault="00CE62DF" w:rsidP="00CE62DF">
      <w:pPr>
        <w:spacing w:after="0"/>
      </w:pPr>
      <w:r>
        <w:t>From:</w:t>
      </w:r>
      <w:r>
        <w:tab/>
        <w:t>Ann Setser</w:t>
      </w:r>
    </w:p>
    <w:p w:rsidR="00E51BBC" w:rsidRDefault="00E51BBC"/>
    <w:p w:rsidR="006467A3" w:rsidRDefault="006467A3" w:rsidP="006467A3">
      <w:r>
        <w:t>Suggestion for addition to CTCAE v4.0:  Oncologic emergencies:</w:t>
      </w:r>
    </w:p>
    <w:p w:rsidR="006467A3" w:rsidRDefault="006467A3" w:rsidP="0077672C">
      <w:pPr>
        <w:pStyle w:val="ListParagraph"/>
        <w:numPr>
          <w:ilvl w:val="0"/>
          <w:numId w:val="2"/>
        </w:numPr>
      </w:pPr>
      <w:proofErr w:type="spellStart"/>
      <w:r>
        <w:t>MedDRA</w:t>
      </w:r>
      <w:proofErr w:type="spellEnd"/>
      <w:r>
        <w:t xml:space="preserve">: </w:t>
      </w:r>
      <w:proofErr w:type="spellStart"/>
      <w:r w:rsidRPr="00DE0AF5">
        <w:t>Leukocytosis</w:t>
      </w:r>
      <w:proofErr w:type="spellEnd"/>
      <w:r>
        <w:t xml:space="preserve">  -- SOC </w:t>
      </w:r>
      <w:r w:rsidRPr="00DE0AF5">
        <w:t>Blood and lymphatic system disorders</w:t>
      </w:r>
    </w:p>
    <w:p w:rsidR="006467A3" w:rsidRDefault="006467A3" w:rsidP="0077672C">
      <w:pPr>
        <w:pStyle w:val="ListParagraph"/>
        <w:numPr>
          <w:ilvl w:val="0"/>
          <w:numId w:val="2"/>
        </w:numPr>
      </w:pPr>
      <w:proofErr w:type="spellStart"/>
      <w:r>
        <w:t>MedDRA</w:t>
      </w:r>
      <w:proofErr w:type="spellEnd"/>
      <w:r>
        <w:t xml:space="preserve">: </w:t>
      </w:r>
      <w:proofErr w:type="spellStart"/>
      <w:r w:rsidRPr="00DE0AF5">
        <w:t>Hyperviscosity</w:t>
      </w:r>
      <w:proofErr w:type="spellEnd"/>
      <w:r w:rsidRPr="00DE0AF5">
        <w:t xml:space="preserve"> syndrome</w:t>
      </w:r>
      <w:r>
        <w:t xml:space="preserve"> -- SOC </w:t>
      </w:r>
      <w:r w:rsidRPr="00DE0AF5">
        <w:t>Blood and lymphatic system disorders</w:t>
      </w:r>
    </w:p>
    <w:p w:rsidR="002145EB" w:rsidRPr="005050A9" w:rsidRDefault="002145EB" w:rsidP="0077672C">
      <w:pPr>
        <w:pStyle w:val="ListParagraph"/>
        <w:numPr>
          <w:ilvl w:val="0"/>
          <w:numId w:val="2"/>
        </w:numPr>
      </w:pPr>
      <w:proofErr w:type="spellStart"/>
      <w:r>
        <w:t>MedDRA</w:t>
      </w:r>
      <w:proofErr w:type="spellEnd"/>
      <w:r>
        <w:t xml:space="preserve">:  </w:t>
      </w:r>
      <w:r w:rsidR="005050A9">
        <w:t xml:space="preserve">LLT &amp; PT </w:t>
      </w:r>
      <w:proofErr w:type="spellStart"/>
      <w:r>
        <w:t>C</w:t>
      </w:r>
      <w:r w:rsidRPr="0077672C">
        <w:rPr>
          <w:rFonts w:ascii="Arial" w:hAnsi="Arial" w:cs="Arial"/>
          <w:sz w:val="20"/>
          <w:szCs w:val="20"/>
        </w:rPr>
        <w:t>oagulopathy</w:t>
      </w:r>
      <w:proofErr w:type="spellEnd"/>
    </w:p>
    <w:p w:rsidR="005050A9" w:rsidRPr="005050A9" w:rsidRDefault="005050A9" w:rsidP="005050A9">
      <w:r>
        <w:t>---------------------------------------------------------------------------------------------------------------</w:t>
      </w:r>
    </w:p>
    <w:p w:rsidR="005050A9" w:rsidRDefault="005050A9" w:rsidP="005050A9">
      <w:pPr>
        <w:spacing w:after="0"/>
      </w:pPr>
      <w:r w:rsidRPr="005050A9">
        <w:rPr>
          <w:b/>
        </w:rPr>
        <w:t xml:space="preserve">Bone marrow </w:t>
      </w:r>
      <w:proofErr w:type="spellStart"/>
      <w:r w:rsidRPr="005050A9">
        <w:rPr>
          <w:b/>
        </w:rPr>
        <w:t>cellularity</w:t>
      </w:r>
      <w:proofErr w:type="spellEnd"/>
      <w:r w:rsidRPr="00E51BBC">
        <w:t>, grades 2</w:t>
      </w:r>
    </w:p>
    <w:p w:rsidR="005050A9" w:rsidRDefault="005050A9" w:rsidP="005050A9">
      <w:pPr>
        <w:spacing w:after="0"/>
      </w:pPr>
      <w:r>
        <w:t xml:space="preserve"> </w:t>
      </w:r>
      <w:r w:rsidRPr="00E51BBC">
        <w:t xml:space="preserve">Grade 2, change to: &gt;25 - &gt;50% reduction from normal </w:t>
      </w:r>
      <w:proofErr w:type="spellStart"/>
      <w:r w:rsidRPr="00E51BBC">
        <w:t>cellularity</w:t>
      </w:r>
      <w:proofErr w:type="spellEnd"/>
      <w:r w:rsidRPr="00E51BBC">
        <w:t xml:space="preserve"> for age</w:t>
      </w:r>
    </w:p>
    <w:p w:rsidR="005050A9" w:rsidRDefault="005050A9" w:rsidP="005050A9">
      <w:pPr>
        <w:pBdr>
          <w:bottom w:val="single" w:sz="6" w:space="1" w:color="auto"/>
        </w:pBdr>
        <w:spacing w:after="0"/>
      </w:pPr>
      <w:r w:rsidRPr="00E51BBC">
        <w:t xml:space="preserve">Grade 3, change to: &gt;50 - &gt;75% reduction from normal </w:t>
      </w:r>
      <w:proofErr w:type="spellStart"/>
      <w:r w:rsidRPr="00E51BBC">
        <w:t>cellularity</w:t>
      </w:r>
      <w:proofErr w:type="spellEnd"/>
      <w:r w:rsidRPr="00E51BBC">
        <w:t xml:space="preserve"> for age</w:t>
      </w:r>
    </w:p>
    <w:p w:rsidR="001707E3" w:rsidRPr="009A05B8" w:rsidRDefault="001707E3" w:rsidP="001707E3">
      <w:pPr>
        <w:spacing w:after="0"/>
        <w:rPr>
          <w:rFonts w:ascii="Arial" w:hAnsi="Arial" w:cs="Arial"/>
          <w:sz w:val="20"/>
          <w:szCs w:val="20"/>
        </w:rPr>
      </w:pPr>
      <w:r w:rsidRPr="009A05B8">
        <w:rPr>
          <w:rFonts w:ascii="Arial" w:hAnsi="Arial" w:cs="Arial"/>
          <w:sz w:val="20"/>
          <w:szCs w:val="20"/>
        </w:rPr>
        <w:t xml:space="preserve">Date: </w:t>
      </w:r>
      <w:r>
        <w:rPr>
          <w:rFonts w:ascii="Arial" w:hAnsi="Arial" w:cs="Arial"/>
          <w:sz w:val="20"/>
          <w:szCs w:val="20"/>
        </w:rPr>
        <w:tab/>
      </w:r>
      <w:r w:rsidRPr="009A05B8">
        <w:rPr>
          <w:rFonts w:ascii="Arial" w:hAnsi="Arial" w:cs="Arial"/>
          <w:sz w:val="20"/>
          <w:szCs w:val="20"/>
        </w:rPr>
        <w:t>October 15, 2008</w:t>
      </w:r>
    </w:p>
    <w:p w:rsidR="001707E3" w:rsidRDefault="001707E3" w:rsidP="001707E3">
      <w:pPr>
        <w:spacing w:after="0"/>
        <w:rPr>
          <w:rFonts w:ascii="Arial" w:hAnsi="Arial" w:cs="Arial"/>
          <w:sz w:val="20"/>
          <w:szCs w:val="20"/>
        </w:rPr>
      </w:pPr>
      <w:r>
        <w:rPr>
          <w:rFonts w:ascii="Arial" w:hAnsi="Arial" w:cs="Arial"/>
          <w:sz w:val="20"/>
          <w:szCs w:val="20"/>
        </w:rPr>
        <w:t>Topic:</w:t>
      </w:r>
      <w:r>
        <w:rPr>
          <w:rFonts w:ascii="Arial" w:hAnsi="Arial" w:cs="Arial"/>
          <w:sz w:val="20"/>
          <w:szCs w:val="20"/>
        </w:rPr>
        <w:tab/>
        <w:t xml:space="preserve">CTCAE v3.0 Help Desk Tickets - </w:t>
      </w:r>
      <w:r w:rsidRPr="009A05B8">
        <w:rPr>
          <w:rFonts w:ascii="Arial" w:hAnsi="Arial" w:cs="Arial"/>
          <w:sz w:val="20"/>
          <w:szCs w:val="20"/>
        </w:rPr>
        <w:t>SOC: Immune system disorders</w:t>
      </w:r>
    </w:p>
    <w:p w:rsidR="001707E3" w:rsidRPr="009A05B8" w:rsidRDefault="001707E3" w:rsidP="001707E3">
      <w:pPr>
        <w:spacing w:after="0"/>
        <w:rPr>
          <w:rFonts w:ascii="Arial" w:hAnsi="Arial" w:cs="Arial"/>
          <w:sz w:val="20"/>
          <w:szCs w:val="20"/>
        </w:rPr>
      </w:pPr>
      <w:r>
        <w:rPr>
          <w:rFonts w:ascii="Arial" w:hAnsi="Arial" w:cs="Arial"/>
          <w:sz w:val="20"/>
          <w:szCs w:val="20"/>
        </w:rPr>
        <w:t>From:</w:t>
      </w:r>
      <w:r>
        <w:rPr>
          <w:rFonts w:ascii="Arial" w:hAnsi="Arial" w:cs="Arial"/>
          <w:sz w:val="20"/>
          <w:szCs w:val="20"/>
        </w:rPr>
        <w:tab/>
        <w:t>Ann Setser</w:t>
      </w:r>
    </w:p>
    <w:p w:rsidR="001707E3" w:rsidRPr="009A05B8" w:rsidRDefault="001707E3" w:rsidP="001707E3">
      <w:pPr>
        <w:spacing w:after="0"/>
        <w:rPr>
          <w:rFonts w:ascii="Arial" w:hAnsi="Arial" w:cs="Arial"/>
          <w:sz w:val="20"/>
          <w:szCs w:val="20"/>
        </w:rPr>
      </w:pPr>
    </w:p>
    <w:p w:rsidR="001707E3" w:rsidRPr="009A05B8" w:rsidRDefault="001707E3" w:rsidP="001707E3">
      <w:pPr>
        <w:spacing w:after="0"/>
        <w:rPr>
          <w:rFonts w:ascii="Arial" w:hAnsi="Arial" w:cs="Arial"/>
          <w:sz w:val="20"/>
          <w:szCs w:val="20"/>
        </w:rPr>
      </w:pPr>
    </w:p>
    <w:p w:rsidR="001707E3" w:rsidRPr="009A05B8" w:rsidRDefault="001707E3" w:rsidP="001707E3">
      <w:pPr>
        <w:spacing w:after="0"/>
        <w:rPr>
          <w:rFonts w:ascii="Arial" w:hAnsi="Arial" w:cs="Arial"/>
          <w:sz w:val="20"/>
          <w:szCs w:val="20"/>
        </w:rPr>
      </w:pPr>
      <w:r w:rsidRPr="009A05B8">
        <w:rPr>
          <w:rFonts w:ascii="Arial" w:hAnsi="Arial" w:cs="Arial"/>
          <w:sz w:val="20"/>
          <w:szCs w:val="20"/>
        </w:rPr>
        <w:t>Issue: Cytokine release syndrome</w:t>
      </w:r>
    </w:p>
    <w:p w:rsidR="001707E3" w:rsidRPr="009A05B8" w:rsidRDefault="001707E3" w:rsidP="001707E3">
      <w:pPr>
        <w:spacing w:after="0"/>
        <w:rPr>
          <w:rFonts w:ascii="Arial" w:hAnsi="Arial" w:cs="Arial"/>
          <w:sz w:val="20"/>
          <w:szCs w:val="20"/>
        </w:rPr>
      </w:pPr>
    </w:p>
    <w:p w:rsidR="001707E3" w:rsidRPr="009A05B8" w:rsidRDefault="001707E3" w:rsidP="001707E3">
      <w:pPr>
        <w:pStyle w:val="PlainText"/>
        <w:rPr>
          <w:rFonts w:ascii="Arial" w:hAnsi="Arial" w:cs="Arial"/>
        </w:rPr>
      </w:pPr>
      <w:r w:rsidRPr="009A05B8">
        <w:rPr>
          <w:rFonts w:ascii="Arial" w:hAnsi="Arial" w:cs="Arial"/>
        </w:rPr>
        <w:t>Thank you again for your help on 'diarrhea' definition in CTCAEv3 last</w:t>
      </w:r>
    </w:p>
    <w:p w:rsidR="001707E3" w:rsidRPr="009A05B8" w:rsidRDefault="001707E3" w:rsidP="001707E3">
      <w:pPr>
        <w:pStyle w:val="PlainText"/>
        <w:rPr>
          <w:rFonts w:ascii="Arial" w:hAnsi="Arial" w:cs="Arial"/>
        </w:rPr>
      </w:pPr>
      <w:proofErr w:type="gramStart"/>
      <w:r w:rsidRPr="009A05B8">
        <w:rPr>
          <w:rFonts w:ascii="Arial" w:hAnsi="Arial" w:cs="Arial"/>
        </w:rPr>
        <w:t>month</w:t>
      </w:r>
      <w:proofErr w:type="gramEnd"/>
      <w:r w:rsidRPr="009A05B8">
        <w:rPr>
          <w:rFonts w:ascii="Arial" w:hAnsi="Arial" w:cs="Arial"/>
        </w:rPr>
        <w:t>. We included your consideration into my presentation for introduction of CTCAEv3 in a several scientific meetings here.</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Today, I am writing to ask you another issue.</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At the review of Japanese version of CTCAEv3 by JCOG Committee, one of the committee member (Dr. Yasuhiro Matsumura MD/</w:t>
      </w:r>
      <w:proofErr w:type="gramStart"/>
      <w:r w:rsidRPr="009A05B8">
        <w:rPr>
          <w:rFonts w:ascii="Arial" w:hAnsi="Arial" w:cs="Arial"/>
        </w:rPr>
        <w:t>PhD ,</w:t>
      </w:r>
      <w:proofErr w:type="gramEnd"/>
      <w:r w:rsidRPr="009A05B8">
        <w:rPr>
          <w:rFonts w:ascii="Arial" w:hAnsi="Arial" w:cs="Arial"/>
        </w:rPr>
        <w:t xml:space="preserve"> a specialist of research on Drug Delivery System) raised a question and comment on 'Cytokine Release Syndrome/Acute Infusion Reaction' in the original CTCAEv3 as well as its Japanese translation.</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I am not familiar with 'infusion reaction' and could not understand the</w:t>
      </w:r>
    </w:p>
    <w:p w:rsidR="001707E3" w:rsidRPr="009A05B8" w:rsidRDefault="001707E3" w:rsidP="001707E3">
      <w:pPr>
        <w:pStyle w:val="PlainText"/>
        <w:rPr>
          <w:rFonts w:ascii="Arial" w:hAnsi="Arial" w:cs="Arial"/>
        </w:rPr>
      </w:pPr>
      <w:proofErr w:type="gramStart"/>
      <w:r w:rsidRPr="009A05B8">
        <w:rPr>
          <w:rFonts w:ascii="Arial" w:hAnsi="Arial" w:cs="Arial"/>
        </w:rPr>
        <w:t>discussion</w:t>
      </w:r>
      <w:proofErr w:type="gramEnd"/>
      <w:r w:rsidRPr="009A05B8">
        <w:rPr>
          <w:rFonts w:ascii="Arial" w:hAnsi="Arial" w:cs="Arial"/>
        </w:rPr>
        <w:t xml:space="preserve"> points enough, so I asked Dr. Matsumura to make a detailed document with evidence. He </w:t>
      </w:r>
      <w:proofErr w:type="gramStart"/>
      <w:r w:rsidRPr="009A05B8">
        <w:rPr>
          <w:rFonts w:ascii="Arial" w:hAnsi="Arial" w:cs="Arial"/>
        </w:rPr>
        <w:t>send</w:t>
      </w:r>
      <w:proofErr w:type="gramEnd"/>
      <w:r w:rsidRPr="009A05B8">
        <w:rPr>
          <w:rFonts w:ascii="Arial" w:hAnsi="Arial" w:cs="Arial"/>
        </w:rPr>
        <w:t xml:space="preserve"> me the attached file as response upon my request.</w:t>
      </w:r>
    </w:p>
    <w:p w:rsidR="001707E3" w:rsidRPr="009A05B8" w:rsidRDefault="001707E3" w:rsidP="001707E3">
      <w:pPr>
        <w:pStyle w:val="PlainText"/>
        <w:rPr>
          <w:rFonts w:ascii="Arial" w:hAnsi="Arial" w:cs="Arial"/>
        </w:rPr>
      </w:pPr>
      <w:r w:rsidRPr="009A05B8">
        <w:rPr>
          <w:rFonts w:ascii="Arial" w:hAnsi="Arial" w:cs="Arial"/>
        </w:rPr>
        <w:t xml:space="preserve"> </w:t>
      </w:r>
    </w:p>
    <w:p w:rsidR="001707E3" w:rsidRPr="009A05B8" w:rsidRDefault="001707E3" w:rsidP="001707E3">
      <w:pPr>
        <w:pStyle w:val="PlainText"/>
        <w:rPr>
          <w:rFonts w:ascii="Arial" w:hAnsi="Arial" w:cs="Arial"/>
        </w:rPr>
      </w:pPr>
      <w:r w:rsidRPr="009A05B8">
        <w:rPr>
          <w:rFonts w:ascii="Arial" w:hAnsi="Arial" w:cs="Arial"/>
        </w:rPr>
        <w:t xml:space="preserve">Dr. </w:t>
      </w:r>
      <w:proofErr w:type="spellStart"/>
      <w:r w:rsidRPr="009A05B8">
        <w:rPr>
          <w:rFonts w:ascii="Arial" w:hAnsi="Arial" w:cs="Arial"/>
        </w:rPr>
        <w:t>Nagahiro</w:t>
      </w:r>
      <w:proofErr w:type="spellEnd"/>
      <w:r w:rsidRPr="009A05B8">
        <w:rPr>
          <w:rFonts w:ascii="Arial" w:hAnsi="Arial" w:cs="Arial"/>
        </w:rPr>
        <w:t xml:space="preserve"> </w:t>
      </w:r>
      <w:proofErr w:type="spellStart"/>
      <w:r w:rsidRPr="009A05B8">
        <w:rPr>
          <w:rFonts w:ascii="Arial" w:hAnsi="Arial" w:cs="Arial"/>
        </w:rPr>
        <w:t>Saijio</w:t>
      </w:r>
      <w:proofErr w:type="spellEnd"/>
      <w:r w:rsidRPr="009A05B8">
        <w:rPr>
          <w:rFonts w:ascii="Arial" w:hAnsi="Arial" w:cs="Arial"/>
        </w:rPr>
        <w:t xml:space="preserve"> (JCOG Chair) and I (JCOG Data Center Director) on behalf of JCOG have agreed with Dr. Matsumura's opinion, and we would much appreciate it if you could take his opinion into consideration by CTCAE Development Team.</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 xml:space="preserve">We, JCOG, have just released Japanese version of CTCAEv3 on our website last month, and it will be hopefully used in the most of cancer clinical trials conducted in Japan, both in investigator-initiated trials and industry-sponsored trials. We hope it would be helpful to increase comparability and availability of Japanese data for cancer </w:t>
      </w:r>
    </w:p>
    <w:p w:rsidR="001707E3" w:rsidRPr="009A05B8" w:rsidRDefault="001707E3" w:rsidP="001707E3">
      <w:pPr>
        <w:pStyle w:val="PlainText"/>
        <w:rPr>
          <w:rFonts w:ascii="Arial" w:hAnsi="Arial" w:cs="Arial"/>
        </w:rPr>
      </w:pPr>
      <w:proofErr w:type="gramStart"/>
      <w:r w:rsidRPr="009A05B8">
        <w:rPr>
          <w:rFonts w:ascii="Arial" w:hAnsi="Arial" w:cs="Arial"/>
        </w:rPr>
        <w:t>patients</w:t>
      </w:r>
      <w:proofErr w:type="gramEnd"/>
      <w:r w:rsidRPr="009A05B8">
        <w:rPr>
          <w:rFonts w:ascii="Arial" w:hAnsi="Arial" w:cs="Arial"/>
        </w:rPr>
        <w:t xml:space="preserve"> not only in Japan but also patients in the world.</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CTEP Response: Thanks to all for the very insightful comments.</w:t>
      </w:r>
    </w:p>
    <w:p w:rsidR="001707E3" w:rsidRPr="009A05B8" w:rsidRDefault="001707E3" w:rsidP="001707E3">
      <w:pPr>
        <w:pStyle w:val="PlainText"/>
        <w:rPr>
          <w:rFonts w:ascii="Arial" w:hAnsi="Arial" w:cs="Arial"/>
        </w:rPr>
      </w:pPr>
      <w:r w:rsidRPr="009A05B8">
        <w:rPr>
          <w:rFonts w:ascii="Arial" w:hAnsi="Arial" w:cs="Arial"/>
        </w:rPr>
        <w:t>This AE was one of the most difficult for us to revise for CTCAE v3.</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At the time of drafting of the version 3, some thought that infusion</w:t>
      </w:r>
    </w:p>
    <w:p w:rsidR="001707E3" w:rsidRPr="009A05B8" w:rsidRDefault="001707E3" w:rsidP="001707E3">
      <w:pPr>
        <w:pStyle w:val="PlainText"/>
        <w:rPr>
          <w:rFonts w:ascii="Arial" w:hAnsi="Arial" w:cs="Arial"/>
        </w:rPr>
      </w:pPr>
      <w:proofErr w:type="gramStart"/>
      <w:r w:rsidRPr="009A05B8">
        <w:rPr>
          <w:rFonts w:ascii="Arial" w:hAnsi="Arial" w:cs="Arial"/>
        </w:rPr>
        <w:t>reaction</w:t>
      </w:r>
      <w:proofErr w:type="gramEnd"/>
      <w:r w:rsidRPr="009A05B8">
        <w:rPr>
          <w:rFonts w:ascii="Arial" w:hAnsi="Arial" w:cs="Arial"/>
        </w:rPr>
        <w:t xml:space="preserve"> should be separated in the CTCAE from cytokine release, some did</w:t>
      </w:r>
    </w:p>
    <w:p w:rsidR="001707E3" w:rsidRPr="009A05B8" w:rsidRDefault="001707E3" w:rsidP="001707E3">
      <w:pPr>
        <w:pStyle w:val="PlainText"/>
        <w:rPr>
          <w:rFonts w:ascii="Arial" w:hAnsi="Arial" w:cs="Arial"/>
        </w:rPr>
      </w:pPr>
      <w:proofErr w:type="gramStart"/>
      <w:r w:rsidRPr="009A05B8">
        <w:rPr>
          <w:rFonts w:ascii="Arial" w:hAnsi="Arial" w:cs="Arial"/>
        </w:rPr>
        <w:t>not</w:t>
      </w:r>
      <w:proofErr w:type="gramEnd"/>
      <w:r w:rsidRPr="009A05B8">
        <w:rPr>
          <w:rFonts w:ascii="Arial" w:hAnsi="Arial" w:cs="Arial"/>
        </w:rPr>
        <w:t>, and nobody was entirety happy with the label of the AE. We kept</w:t>
      </w:r>
    </w:p>
    <w:p w:rsidR="001707E3" w:rsidRPr="009A05B8" w:rsidRDefault="001707E3" w:rsidP="001707E3">
      <w:pPr>
        <w:pStyle w:val="PlainText"/>
        <w:rPr>
          <w:rFonts w:ascii="Arial" w:hAnsi="Arial" w:cs="Arial"/>
        </w:rPr>
      </w:pPr>
      <w:proofErr w:type="gramStart"/>
      <w:r w:rsidRPr="009A05B8">
        <w:rPr>
          <w:rFonts w:ascii="Arial" w:hAnsi="Arial" w:cs="Arial"/>
        </w:rPr>
        <w:t>cytokine</w:t>
      </w:r>
      <w:proofErr w:type="gramEnd"/>
      <w:r w:rsidRPr="009A05B8">
        <w:rPr>
          <w:rFonts w:ascii="Arial" w:hAnsi="Arial" w:cs="Arial"/>
        </w:rPr>
        <w:t xml:space="preserve"> release part of the title primarily for the antibody therapies.</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While there is some wiggle room in the grade 2 description, I agree that we</w:t>
      </w:r>
    </w:p>
    <w:p w:rsidR="001707E3" w:rsidRPr="009A05B8" w:rsidRDefault="001707E3" w:rsidP="001707E3">
      <w:pPr>
        <w:pStyle w:val="PlainText"/>
        <w:rPr>
          <w:rFonts w:ascii="Arial" w:hAnsi="Arial" w:cs="Arial"/>
        </w:rPr>
      </w:pPr>
      <w:proofErr w:type="gramStart"/>
      <w:r w:rsidRPr="009A05B8">
        <w:rPr>
          <w:rFonts w:ascii="Arial" w:hAnsi="Arial" w:cs="Arial"/>
        </w:rPr>
        <w:t>could</w:t>
      </w:r>
      <w:proofErr w:type="gramEnd"/>
      <w:r w:rsidRPr="009A05B8">
        <w:rPr>
          <w:rFonts w:ascii="Arial" w:hAnsi="Arial" w:cs="Arial"/>
        </w:rPr>
        <w:t xml:space="preserve"> better state the fact that interruptions with resolution without any</w:t>
      </w:r>
    </w:p>
    <w:p w:rsidR="001707E3" w:rsidRPr="009A05B8" w:rsidRDefault="001707E3" w:rsidP="001707E3">
      <w:pPr>
        <w:pStyle w:val="PlainText"/>
        <w:rPr>
          <w:rFonts w:ascii="Arial" w:hAnsi="Arial" w:cs="Arial"/>
        </w:rPr>
      </w:pPr>
      <w:proofErr w:type="gramStart"/>
      <w:r w:rsidRPr="009A05B8">
        <w:rPr>
          <w:rFonts w:ascii="Arial" w:hAnsi="Arial" w:cs="Arial"/>
        </w:rPr>
        <w:t>intervention</w:t>
      </w:r>
      <w:proofErr w:type="gramEnd"/>
      <w:r w:rsidRPr="009A05B8">
        <w:rPr>
          <w:rFonts w:ascii="Arial" w:hAnsi="Arial" w:cs="Arial"/>
        </w:rPr>
        <w:t xml:space="preserve"> should be included in grade 2, and we will keep this in mind</w:t>
      </w:r>
    </w:p>
    <w:p w:rsidR="001707E3" w:rsidRPr="009A05B8" w:rsidRDefault="001707E3" w:rsidP="001707E3">
      <w:pPr>
        <w:pStyle w:val="PlainText"/>
        <w:rPr>
          <w:rFonts w:ascii="Arial" w:hAnsi="Arial" w:cs="Arial"/>
        </w:rPr>
      </w:pPr>
      <w:proofErr w:type="gramStart"/>
      <w:r w:rsidRPr="009A05B8">
        <w:rPr>
          <w:rFonts w:ascii="Arial" w:hAnsi="Arial" w:cs="Arial"/>
        </w:rPr>
        <w:t>when</w:t>
      </w:r>
      <w:proofErr w:type="gramEnd"/>
      <w:r w:rsidRPr="009A05B8">
        <w:rPr>
          <w:rFonts w:ascii="Arial" w:hAnsi="Arial" w:cs="Arial"/>
        </w:rPr>
        <w:t xml:space="preserve"> we revise again.</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I'll ask that the addition of liposomal products be discussed at next</w:t>
      </w:r>
    </w:p>
    <w:p w:rsidR="001707E3" w:rsidRPr="009A05B8" w:rsidRDefault="001707E3" w:rsidP="001707E3">
      <w:pPr>
        <w:pStyle w:val="PlainText"/>
        <w:rPr>
          <w:rFonts w:ascii="Arial" w:hAnsi="Arial" w:cs="Arial"/>
        </w:rPr>
      </w:pPr>
      <w:proofErr w:type="gramStart"/>
      <w:r w:rsidRPr="009A05B8">
        <w:rPr>
          <w:rFonts w:ascii="Arial" w:hAnsi="Arial" w:cs="Arial"/>
        </w:rPr>
        <w:t>revision</w:t>
      </w:r>
      <w:proofErr w:type="gramEnd"/>
      <w:r w:rsidRPr="009A05B8">
        <w:rPr>
          <w:rFonts w:ascii="Arial" w:hAnsi="Arial" w:cs="Arial"/>
        </w:rPr>
        <w:t>, but I am not sure this is necessary. In the future, we are going</w:t>
      </w:r>
    </w:p>
    <w:p w:rsidR="001707E3" w:rsidRPr="009A05B8" w:rsidRDefault="001707E3" w:rsidP="001707E3">
      <w:pPr>
        <w:pStyle w:val="PlainText"/>
        <w:rPr>
          <w:rFonts w:ascii="Arial" w:hAnsi="Arial" w:cs="Arial"/>
        </w:rPr>
      </w:pPr>
      <w:proofErr w:type="gramStart"/>
      <w:r w:rsidRPr="009A05B8">
        <w:rPr>
          <w:rFonts w:ascii="Arial" w:hAnsi="Arial" w:cs="Arial"/>
        </w:rPr>
        <w:t>to</w:t>
      </w:r>
      <w:proofErr w:type="gramEnd"/>
      <w:r w:rsidRPr="009A05B8">
        <w:rPr>
          <w:rFonts w:ascii="Arial" w:hAnsi="Arial" w:cs="Arial"/>
        </w:rPr>
        <w:t xml:space="preserve"> have many vehicles and polymeric preps that might be relevant and we</w:t>
      </w:r>
    </w:p>
    <w:p w:rsidR="001707E3" w:rsidRPr="009A05B8" w:rsidRDefault="001707E3" w:rsidP="001707E3">
      <w:pPr>
        <w:pStyle w:val="PlainText"/>
        <w:rPr>
          <w:rFonts w:ascii="Arial" w:hAnsi="Arial" w:cs="Arial"/>
        </w:rPr>
      </w:pPr>
      <w:proofErr w:type="gramStart"/>
      <w:r w:rsidRPr="009A05B8">
        <w:rPr>
          <w:rFonts w:ascii="Arial" w:hAnsi="Arial" w:cs="Arial"/>
        </w:rPr>
        <w:t>don't</w:t>
      </w:r>
      <w:proofErr w:type="gramEnd"/>
      <w:r w:rsidRPr="009A05B8">
        <w:rPr>
          <w:rFonts w:ascii="Arial" w:hAnsi="Arial" w:cs="Arial"/>
        </w:rPr>
        <w:t xml:space="preserve"> intend to include an exhaustive list.</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sidRPr="009A05B8">
        <w:rPr>
          <w:rFonts w:ascii="Arial" w:hAnsi="Arial" w:cs="Arial"/>
        </w:rPr>
        <w:t>Again, thanks.  It is this sort of thoughtful follow- up from the oncology</w:t>
      </w:r>
    </w:p>
    <w:p w:rsidR="001707E3" w:rsidRPr="009A05B8" w:rsidRDefault="001707E3" w:rsidP="001707E3">
      <w:pPr>
        <w:pStyle w:val="PlainText"/>
        <w:rPr>
          <w:rFonts w:ascii="Arial" w:hAnsi="Arial" w:cs="Arial"/>
        </w:rPr>
      </w:pPr>
      <w:proofErr w:type="gramStart"/>
      <w:r w:rsidRPr="009A05B8">
        <w:rPr>
          <w:rFonts w:ascii="Arial" w:hAnsi="Arial" w:cs="Arial"/>
        </w:rPr>
        <w:t>community</w:t>
      </w:r>
      <w:proofErr w:type="gramEnd"/>
      <w:r w:rsidRPr="009A05B8">
        <w:rPr>
          <w:rFonts w:ascii="Arial" w:hAnsi="Arial" w:cs="Arial"/>
        </w:rPr>
        <w:t xml:space="preserve"> that will make the CTC a progressively improved document.</w:t>
      </w:r>
    </w:p>
    <w:p w:rsidR="001707E3" w:rsidRPr="009A05B8" w:rsidRDefault="001707E3" w:rsidP="001707E3">
      <w:pPr>
        <w:pStyle w:val="PlainText"/>
        <w:rPr>
          <w:rFonts w:ascii="Arial" w:hAnsi="Arial" w:cs="Arial"/>
        </w:rPr>
      </w:pPr>
    </w:p>
    <w:p w:rsidR="001707E3" w:rsidRPr="009A05B8" w:rsidRDefault="001707E3" w:rsidP="001707E3">
      <w:pPr>
        <w:pStyle w:val="PlainText"/>
        <w:rPr>
          <w:rFonts w:ascii="Arial" w:hAnsi="Arial" w:cs="Arial"/>
        </w:rPr>
      </w:pPr>
      <w:r>
        <w:rPr>
          <w:rFonts w:ascii="Arial" w:hAnsi="Arial" w:cs="Arial"/>
        </w:rPr>
        <w:t>P</w:t>
      </w:r>
      <w:r w:rsidRPr="009A05B8">
        <w:rPr>
          <w:rFonts w:ascii="Arial" w:hAnsi="Arial" w:cs="Arial"/>
        </w:rPr>
        <w:t>ease add this email and the attached PDF to the file of</w:t>
      </w:r>
      <w:r>
        <w:rPr>
          <w:rFonts w:ascii="Arial" w:hAnsi="Arial" w:cs="Arial"/>
        </w:rPr>
        <w:t xml:space="preserve"> </w:t>
      </w:r>
      <w:r w:rsidRPr="009A05B8">
        <w:rPr>
          <w:rFonts w:ascii="Arial" w:hAnsi="Arial" w:cs="Arial"/>
        </w:rPr>
        <w:t>issues to be examined at next revision.</w:t>
      </w:r>
    </w:p>
    <w:p w:rsidR="001707E3" w:rsidRPr="009A05B8" w:rsidRDefault="001707E3" w:rsidP="001707E3">
      <w:pPr>
        <w:pStyle w:val="PlainText"/>
        <w:rPr>
          <w:rFonts w:ascii="Arial" w:hAnsi="Arial" w:cs="Arial"/>
        </w:rPr>
      </w:pPr>
      <w:r w:rsidRPr="009A05B8">
        <w:rPr>
          <w:rFonts w:ascii="Arial" w:hAnsi="Arial" w:cs="Arial"/>
        </w:rPr>
        <w:t>---------------------------------------</w:t>
      </w:r>
    </w:p>
    <w:p w:rsidR="001707E3" w:rsidRPr="009A05B8" w:rsidRDefault="001707E3" w:rsidP="001707E3">
      <w:pPr>
        <w:pStyle w:val="PlainText"/>
        <w:rPr>
          <w:rFonts w:ascii="Arial" w:hAnsi="Arial" w:cs="Arial"/>
        </w:rPr>
      </w:pP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Questions regarding cytokine release syndrome/acute infusion reaction in SYNDROMES of</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CTCAEv3.0</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Indication 1</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This syndrome is generally termed “infusion-related reactions”. Although given classes of cytokines</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and</w:t>
      </w:r>
      <w:proofErr w:type="gramEnd"/>
      <w:r w:rsidRPr="009A05B8">
        <w:rPr>
          <w:rFonts w:ascii="Arial" w:hAnsi="Arial" w:cs="Arial"/>
          <w:sz w:val="20"/>
          <w:szCs w:val="20"/>
        </w:rPr>
        <w:t xml:space="preserve"> complements are considered to be pathogenic factors, its precise etiologies still remain</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undefined</w:t>
      </w:r>
      <w:proofErr w:type="gramEnd"/>
      <w:r w:rsidRPr="009A05B8">
        <w:rPr>
          <w:rFonts w:ascii="Arial" w:hAnsi="Arial" w:cs="Arial"/>
          <w:sz w:val="20"/>
          <w:szCs w:val="20"/>
        </w:rPr>
        <w:t>. Therefore, it is questionable to give a term “cytokine release syndrome”. After all, we</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consider</w:t>
      </w:r>
      <w:proofErr w:type="gramEnd"/>
      <w:r w:rsidRPr="009A05B8">
        <w:rPr>
          <w:rFonts w:ascii="Arial" w:hAnsi="Arial" w:cs="Arial"/>
          <w:sz w:val="20"/>
          <w:szCs w:val="20"/>
        </w:rPr>
        <w:t xml:space="preserve"> that the term should be integrated to “infusion-related reactions” (1,2,3).</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Indication 2</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The description of grade 2 involves an obvious contrariety. This syndrome makes a clear distinction</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from</w:t>
      </w:r>
      <w:proofErr w:type="gramEnd"/>
      <w:r w:rsidRPr="009A05B8">
        <w:rPr>
          <w:rFonts w:ascii="Arial" w:hAnsi="Arial" w:cs="Arial"/>
          <w:sz w:val="20"/>
          <w:szCs w:val="20"/>
        </w:rPr>
        <w:t xml:space="preserve"> allergy (2,4). A gross suspicion is elicited about antihistaminic activity. We consider that no</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definite</w:t>
      </w:r>
      <w:proofErr w:type="gramEnd"/>
      <w:r w:rsidRPr="009A05B8">
        <w:rPr>
          <w:rFonts w:ascii="Arial" w:hAnsi="Arial" w:cs="Arial"/>
          <w:sz w:val="20"/>
          <w:szCs w:val="20"/>
        </w:rPr>
        <w:t xml:space="preserve"> treatment is available for this syndrome (A package insert from ALZA corporation). The</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only</w:t>
      </w:r>
      <w:proofErr w:type="gramEnd"/>
      <w:r w:rsidRPr="009A05B8">
        <w:rPr>
          <w:rFonts w:ascii="Arial" w:hAnsi="Arial" w:cs="Arial"/>
          <w:sz w:val="20"/>
          <w:szCs w:val="20"/>
        </w:rPr>
        <w:t xml:space="preserve"> </w:t>
      </w:r>
      <w:proofErr w:type="spellStart"/>
      <w:r w:rsidRPr="009A05B8">
        <w:rPr>
          <w:rFonts w:ascii="Arial" w:hAnsi="Arial" w:cs="Arial"/>
          <w:sz w:val="20"/>
          <w:szCs w:val="20"/>
        </w:rPr>
        <w:t>undubious</w:t>
      </w:r>
      <w:proofErr w:type="spellEnd"/>
      <w:r w:rsidRPr="009A05B8">
        <w:rPr>
          <w:rFonts w:ascii="Arial" w:hAnsi="Arial" w:cs="Arial"/>
          <w:sz w:val="20"/>
          <w:szCs w:val="20"/>
        </w:rPr>
        <w:t xml:space="preserve"> fact is that symptoms disappear after the interruption of treatment There is no</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evidence</w:t>
      </w:r>
      <w:proofErr w:type="gramEnd"/>
      <w:r w:rsidRPr="009A05B8">
        <w:rPr>
          <w:rFonts w:ascii="Arial" w:hAnsi="Arial" w:cs="Arial"/>
          <w:sz w:val="20"/>
          <w:szCs w:val="20"/>
        </w:rPr>
        <w:t xml:space="preserve"> that an </w:t>
      </w:r>
      <w:proofErr w:type="spellStart"/>
      <w:r w:rsidRPr="009A05B8">
        <w:rPr>
          <w:rFonts w:ascii="Arial" w:hAnsi="Arial" w:cs="Arial"/>
          <w:sz w:val="20"/>
          <w:szCs w:val="20"/>
        </w:rPr>
        <w:t>anit</w:t>
      </w:r>
      <w:proofErr w:type="spellEnd"/>
      <w:r w:rsidRPr="009A05B8">
        <w:rPr>
          <w:rFonts w:ascii="Arial" w:hAnsi="Arial" w:cs="Arial"/>
          <w:sz w:val="20"/>
          <w:szCs w:val="20"/>
        </w:rPr>
        <w:t>-histamine is effective for the infusion related reaction.. Therefore, we consider</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that</w:t>
      </w:r>
      <w:proofErr w:type="gramEnd"/>
      <w:r w:rsidRPr="009A05B8">
        <w:rPr>
          <w:rFonts w:ascii="Arial" w:hAnsi="Arial" w:cs="Arial"/>
          <w:sz w:val="20"/>
          <w:szCs w:val="20"/>
        </w:rPr>
        <w:t xml:space="preserve"> the acceptable description of grade 2 is “Moderate reactions require the interruption of</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treatment</w:t>
      </w:r>
      <w:proofErr w:type="gramEnd"/>
      <w:r w:rsidRPr="009A05B8">
        <w:rPr>
          <w:rFonts w:ascii="Arial" w:hAnsi="Arial" w:cs="Arial"/>
          <w:sz w:val="20"/>
          <w:szCs w:val="20"/>
        </w:rPr>
        <w:t>.”</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Indication 3</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Liposomal drug preparations should be added to biological products, e.g., monoclonal antibodies,</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which</w:t>
      </w:r>
      <w:proofErr w:type="gramEnd"/>
      <w:r w:rsidRPr="009A05B8">
        <w:rPr>
          <w:rFonts w:ascii="Arial" w:hAnsi="Arial" w:cs="Arial"/>
          <w:sz w:val="20"/>
          <w:szCs w:val="20"/>
        </w:rPr>
        <w:t xml:space="preserve"> are mentioned as examples.</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Reference</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 xml:space="preserve">1) </w:t>
      </w:r>
      <w:proofErr w:type="spellStart"/>
      <w:r w:rsidRPr="009A05B8">
        <w:rPr>
          <w:rFonts w:ascii="Arial" w:hAnsi="Arial" w:cs="Arial"/>
          <w:sz w:val="20"/>
          <w:szCs w:val="20"/>
        </w:rPr>
        <w:t>J.Szebeni</w:t>
      </w:r>
      <w:proofErr w:type="spellEnd"/>
      <w:r w:rsidRPr="009A05B8">
        <w:rPr>
          <w:rFonts w:ascii="Arial" w:hAnsi="Arial" w:cs="Arial"/>
          <w:sz w:val="20"/>
          <w:szCs w:val="20"/>
        </w:rPr>
        <w:t xml:space="preserve">, L. </w:t>
      </w:r>
      <w:proofErr w:type="spellStart"/>
      <w:r w:rsidRPr="009A05B8">
        <w:rPr>
          <w:rFonts w:ascii="Arial" w:hAnsi="Arial" w:cs="Arial"/>
          <w:sz w:val="20"/>
          <w:szCs w:val="20"/>
        </w:rPr>
        <w:t>Branyi</w:t>
      </w:r>
      <w:proofErr w:type="spellEnd"/>
      <w:r w:rsidRPr="009A05B8">
        <w:rPr>
          <w:rFonts w:ascii="Arial" w:hAnsi="Arial" w:cs="Arial"/>
          <w:sz w:val="20"/>
          <w:szCs w:val="20"/>
        </w:rPr>
        <w:t xml:space="preserve">, S. </w:t>
      </w:r>
      <w:proofErr w:type="spellStart"/>
      <w:r w:rsidRPr="009A05B8">
        <w:rPr>
          <w:rFonts w:ascii="Arial" w:hAnsi="Arial" w:cs="Arial"/>
          <w:sz w:val="20"/>
          <w:szCs w:val="20"/>
        </w:rPr>
        <w:t>Savay</w:t>
      </w:r>
      <w:proofErr w:type="spellEnd"/>
      <w:r w:rsidRPr="009A05B8">
        <w:rPr>
          <w:rFonts w:ascii="Arial" w:hAnsi="Arial" w:cs="Arial"/>
          <w:sz w:val="20"/>
          <w:szCs w:val="20"/>
        </w:rPr>
        <w:t xml:space="preserve">, J. </w:t>
      </w:r>
      <w:proofErr w:type="spellStart"/>
      <w:r w:rsidRPr="009A05B8">
        <w:rPr>
          <w:rFonts w:ascii="Arial" w:hAnsi="Arial" w:cs="Arial"/>
          <w:sz w:val="20"/>
          <w:szCs w:val="20"/>
        </w:rPr>
        <w:t>Milosevits</w:t>
      </w:r>
      <w:proofErr w:type="spellEnd"/>
      <w:r w:rsidRPr="009A05B8">
        <w:rPr>
          <w:rFonts w:ascii="Arial" w:hAnsi="Arial" w:cs="Arial"/>
          <w:sz w:val="20"/>
          <w:szCs w:val="20"/>
        </w:rPr>
        <w:t xml:space="preserve">, R. Bunger, P. </w:t>
      </w:r>
      <w:proofErr w:type="spellStart"/>
      <w:r w:rsidRPr="009A05B8">
        <w:rPr>
          <w:rFonts w:ascii="Arial" w:hAnsi="Arial" w:cs="Arial"/>
          <w:sz w:val="20"/>
          <w:szCs w:val="20"/>
        </w:rPr>
        <w:t>Laverman</w:t>
      </w:r>
      <w:proofErr w:type="spellEnd"/>
      <w:r w:rsidRPr="009A05B8">
        <w:rPr>
          <w:rFonts w:ascii="Arial" w:hAnsi="Arial" w:cs="Arial"/>
          <w:sz w:val="20"/>
          <w:szCs w:val="20"/>
        </w:rPr>
        <w:t xml:space="preserve">, J.M. </w:t>
      </w:r>
      <w:proofErr w:type="spellStart"/>
      <w:r w:rsidRPr="009A05B8">
        <w:rPr>
          <w:rFonts w:ascii="Arial" w:hAnsi="Arial" w:cs="Arial"/>
          <w:sz w:val="20"/>
          <w:szCs w:val="20"/>
        </w:rPr>
        <w:t>Metselaar</w:t>
      </w:r>
      <w:proofErr w:type="spellEnd"/>
      <w:r w:rsidRPr="009A05B8">
        <w:rPr>
          <w:rFonts w:ascii="Arial" w:hAnsi="Arial" w:cs="Arial"/>
          <w:sz w:val="20"/>
          <w:szCs w:val="20"/>
        </w:rPr>
        <w:t>, G. Cohen,</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 xml:space="preserve">Y. </w:t>
      </w:r>
      <w:proofErr w:type="spellStart"/>
      <w:r w:rsidRPr="009A05B8">
        <w:rPr>
          <w:rFonts w:ascii="Arial" w:hAnsi="Arial" w:cs="Arial"/>
          <w:sz w:val="20"/>
          <w:szCs w:val="20"/>
        </w:rPr>
        <w:t>Barenholz</w:t>
      </w:r>
      <w:proofErr w:type="spellEnd"/>
      <w:r w:rsidRPr="009A05B8">
        <w:rPr>
          <w:rFonts w:ascii="Arial" w:hAnsi="Arial" w:cs="Arial"/>
          <w:sz w:val="20"/>
          <w:szCs w:val="20"/>
        </w:rPr>
        <w:t xml:space="preserve">, C.R. </w:t>
      </w:r>
      <w:proofErr w:type="spellStart"/>
      <w:r w:rsidRPr="009A05B8">
        <w:rPr>
          <w:rFonts w:ascii="Arial" w:hAnsi="Arial" w:cs="Arial"/>
          <w:sz w:val="20"/>
          <w:szCs w:val="20"/>
        </w:rPr>
        <w:t>Alving</w:t>
      </w:r>
      <w:proofErr w:type="spellEnd"/>
      <w:r w:rsidRPr="009A05B8">
        <w:rPr>
          <w:rFonts w:ascii="Arial" w:hAnsi="Arial" w:cs="Arial"/>
          <w:sz w:val="20"/>
          <w:szCs w:val="20"/>
        </w:rPr>
        <w:t xml:space="preserve">. Role of complement activation in hypersensitivity reactions to </w:t>
      </w:r>
      <w:proofErr w:type="spellStart"/>
      <w:r w:rsidRPr="009A05B8">
        <w:rPr>
          <w:rFonts w:ascii="Arial" w:hAnsi="Arial" w:cs="Arial"/>
          <w:sz w:val="20"/>
          <w:szCs w:val="20"/>
        </w:rPr>
        <w:t>doxil</w:t>
      </w:r>
      <w:proofErr w:type="spellEnd"/>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and</w:t>
      </w:r>
      <w:proofErr w:type="gramEnd"/>
      <w:r w:rsidRPr="009A05B8">
        <w:rPr>
          <w:rFonts w:ascii="Arial" w:hAnsi="Arial" w:cs="Arial"/>
          <w:sz w:val="20"/>
          <w:szCs w:val="20"/>
        </w:rPr>
        <w:t xml:space="preserve"> </w:t>
      </w:r>
      <w:proofErr w:type="spellStart"/>
      <w:r w:rsidRPr="009A05B8">
        <w:rPr>
          <w:rFonts w:ascii="Arial" w:hAnsi="Arial" w:cs="Arial"/>
          <w:sz w:val="20"/>
          <w:szCs w:val="20"/>
        </w:rPr>
        <w:t>hynic</w:t>
      </w:r>
      <w:proofErr w:type="spellEnd"/>
      <w:r w:rsidRPr="009A05B8">
        <w:rPr>
          <w:rFonts w:ascii="Arial" w:hAnsi="Arial" w:cs="Arial"/>
          <w:sz w:val="20"/>
          <w:szCs w:val="20"/>
        </w:rPr>
        <w:t xml:space="preserve"> peg </w:t>
      </w:r>
      <w:proofErr w:type="spellStart"/>
      <w:r w:rsidRPr="009A05B8">
        <w:rPr>
          <w:rFonts w:ascii="Arial" w:hAnsi="Arial" w:cs="Arial"/>
          <w:sz w:val="20"/>
          <w:szCs w:val="20"/>
        </w:rPr>
        <w:t>liposomes</w:t>
      </w:r>
      <w:proofErr w:type="spellEnd"/>
      <w:r w:rsidRPr="009A05B8">
        <w:rPr>
          <w:rFonts w:ascii="Arial" w:hAnsi="Arial" w:cs="Arial"/>
          <w:sz w:val="20"/>
          <w:szCs w:val="20"/>
        </w:rPr>
        <w:t xml:space="preserve"> : experimental and clinical studies. </w:t>
      </w:r>
      <w:proofErr w:type="gramStart"/>
      <w:r w:rsidRPr="009A05B8">
        <w:rPr>
          <w:rFonts w:ascii="Arial" w:hAnsi="Arial" w:cs="Arial"/>
          <w:sz w:val="20"/>
          <w:szCs w:val="20"/>
        </w:rPr>
        <w:t>Journal of Liposome Research.</w:t>
      </w:r>
      <w:proofErr w:type="gramEnd"/>
      <w:r w:rsidRPr="009A05B8">
        <w:rPr>
          <w:rFonts w:ascii="Arial" w:hAnsi="Arial" w:cs="Arial"/>
          <w:sz w:val="20"/>
          <w:szCs w:val="20"/>
        </w:rPr>
        <w:t xml:space="preserve"> </w:t>
      </w:r>
      <w:proofErr w:type="gramStart"/>
      <w:r w:rsidRPr="009A05B8">
        <w:rPr>
          <w:rFonts w:ascii="Arial" w:hAnsi="Arial" w:cs="Arial"/>
          <w:sz w:val="20"/>
          <w:szCs w:val="20"/>
        </w:rPr>
        <w:t>12 :</w:t>
      </w:r>
      <w:proofErr w:type="gramEnd"/>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165-172, 2002.</w:t>
      </w:r>
      <w:proofErr w:type="gramEnd"/>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2)A</w:t>
      </w:r>
      <w:proofErr w:type="gramEnd"/>
      <w:r w:rsidRPr="009A05B8">
        <w:rPr>
          <w:rFonts w:ascii="Arial" w:hAnsi="Arial" w:cs="Arial"/>
          <w:sz w:val="20"/>
          <w:szCs w:val="20"/>
        </w:rPr>
        <w:t xml:space="preserve">. </w:t>
      </w:r>
      <w:proofErr w:type="spellStart"/>
      <w:r w:rsidRPr="009A05B8">
        <w:rPr>
          <w:rFonts w:ascii="Arial" w:hAnsi="Arial" w:cs="Arial"/>
          <w:sz w:val="20"/>
          <w:szCs w:val="20"/>
        </w:rPr>
        <w:t>Chanan</w:t>
      </w:r>
      <w:proofErr w:type="spellEnd"/>
      <w:r w:rsidRPr="009A05B8">
        <w:rPr>
          <w:rFonts w:ascii="Arial" w:hAnsi="Arial" w:cs="Arial"/>
          <w:sz w:val="20"/>
          <w:szCs w:val="20"/>
        </w:rPr>
        <w:t xml:space="preserve">-Khan, J. </w:t>
      </w:r>
      <w:proofErr w:type="spellStart"/>
      <w:r w:rsidRPr="009A05B8">
        <w:rPr>
          <w:rFonts w:ascii="Arial" w:hAnsi="Arial" w:cs="Arial"/>
          <w:sz w:val="20"/>
          <w:szCs w:val="20"/>
        </w:rPr>
        <w:t>Szebeni</w:t>
      </w:r>
      <w:proofErr w:type="spellEnd"/>
      <w:r w:rsidRPr="009A05B8">
        <w:rPr>
          <w:rFonts w:ascii="Arial" w:hAnsi="Arial" w:cs="Arial"/>
          <w:sz w:val="20"/>
          <w:szCs w:val="20"/>
        </w:rPr>
        <w:t xml:space="preserve">, S. </w:t>
      </w:r>
      <w:proofErr w:type="spellStart"/>
      <w:r w:rsidRPr="009A05B8">
        <w:rPr>
          <w:rFonts w:ascii="Arial" w:hAnsi="Arial" w:cs="Arial"/>
          <w:sz w:val="20"/>
          <w:szCs w:val="20"/>
        </w:rPr>
        <w:t>Savay</w:t>
      </w:r>
      <w:proofErr w:type="spellEnd"/>
      <w:r w:rsidRPr="009A05B8">
        <w:rPr>
          <w:rFonts w:ascii="Arial" w:hAnsi="Arial" w:cs="Arial"/>
          <w:sz w:val="20"/>
          <w:szCs w:val="20"/>
        </w:rPr>
        <w:t xml:space="preserve">, L. </w:t>
      </w:r>
      <w:proofErr w:type="spellStart"/>
      <w:r w:rsidRPr="009A05B8">
        <w:rPr>
          <w:rFonts w:ascii="Arial" w:hAnsi="Arial" w:cs="Arial"/>
          <w:sz w:val="20"/>
          <w:szCs w:val="20"/>
        </w:rPr>
        <w:t>Liebes</w:t>
      </w:r>
      <w:proofErr w:type="spellEnd"/>
      <w:r w:rsidRPr="009A05B8">
        <w:rPr>
          <w:rFonts w:ascii="Arial" w:hAnsi="Arial" w:cs="Arial"/>
          <w:sz w:val="20"/>
          <w:szCs w:val="20"/>
        </w:rPr>
        <w:t xml:space="preserve">, N. M. </w:t>
      </w:r>
      <w:proofErr w:type="spellStart"/>
      <w:r w:rsidRPr="009A05B8">
        <w:rPr>
          <w:rFonts w:ascii="Arial" w:hAnsi="Arial" w:cs="Arial"/>
          <w:sz w:val="20"/>
          <w:szCs w:val="20"/>
        </w:rPr>
        <w:t>Rafique</w:t>
      </w:r>
      <w:proofErr w:type="spellEnd"/>
      <w:r w:rsidRPr="009A05B8">
        <w:rPr>
          <w:rFonts w:ascii="Arial" w:hAnsi="Arial" w:cs="Arial"/>
          <w:sz w:val="20"/>
          <w:szCs w:val="20"/>
        </w:rPr>
        <w:t xml:space="preserve">, C. R. </w:t>
      </w:r>
      <w:proofErr w:type="spellStart"/>
      <w:r w:rsidRPr="009A05B8">
        <w:rPr>
          <w:rFonts w:ascii="Arial" w:hAnsi="Arial" w:cs="Arial"/>
          <w:sz w:val="20"/>
          <w:szCs w:val="20"/>
        </w:rPr>
        <w:t>Alving</w:t>
      </w:r>
      <w:proofErr w:type="spellEnd"/>
      <w:r w:rsidRPr="009A05B8">
        <w:rPr>
          <w:rFonts w:ascii="Arial" w:hAnsi="Arial" w:cs="Arial"/>
          <w:sz w:val="20"/>
          <w:szCs w:val="20"/>
        </w:rPr>
        <w:t xml:space="preserve">, and F. M. </w:t>
      </w:r>
      <w:proofErr w:type="spellStart"/>
      <w:r w:rsidRPr="009A05B8">
        <w:rPr>
          <w:rFonts w:ascii="Arial" w:hAnsi="Arial" w:cs="Arial"/>
          <w:sz w:val="20"/>
          <w:szCs w:val="20"/>
        </w:rPr>
        <w:t>Muggia</w:t>
      </w:r>
      <w:proofErr w:type="spellEnd"/>
      <w:r w:rsidRPr="009A05B8">
        <w:rPr>
          <w:rFonts w:ascii="Arial" w:hAnsi="Arial" w:cs="Arial"/>
          <w:sz w:val="20"/>
          <w:szCs w:val="20"/>
        </w:rPr>
        <w:t>.</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 xml:space="preserve">Complement activation following first exposure to </w:t>
      </w:r>
      <w:proofErr w:type="spellStart"/>
      <w:r w:rsidRPr="009A05B8">
        <w:rPr>
          <w:rFonts w:ascii="Arial" w:hAnsi="Arial" w:cs="Arial"/>
          <w:sz w:val="20"/>
          <w:szCs w:val="20"/>
        </w:rPr>
        <w:t>pegylated</w:t>
      </w:r>
      <w:proofErr w:type="spellEnd"/>
      <w:r w:rsidRPr="009A05B8">
        <w:rPr>
          <w:rFonts w:ascii="Arial" w:hAnsi="Arial" w:cs="Arial"/>
          <w:sz w:val="20"/>
          <w:szCs w:val="20"/>
        </w:rPr>
        <w:t xml:space="preserve"> liposomal doxorubicin (</w:t>
      </w:r>
      <w:proofErr w:type="spellStart"/>
      <w:r w:rsidRPr="009A05B8">
        <w:rPr>
          <w:rFonts w:ascii="Arial" w:hAnsi="Arial" w:cs="Arial"/>
          <w:sz w:val="20"/>
          <w:szCs w:val="20"/>
        </w:rPr>
        <w:t>Doxil</w:t>
      </w:r>
      <w:proofErr w:type="spellEnd"/>
      <w:r w:rsidRPr="009A05B8">
        <w:rPr>
          <w:rFonts w:ascii="Arial" w:hAnsi="Arial" w:cs="Arial"/>
          <w:sz w:val="20"/>
          <w:szCs w:val="20"/>
        </w:rPr>
        <w:t>®):</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possible</w:t>
      </w:r>
      <w:proofErr w:type="gramEnd"/>
      <w:r w:rsidRPr="009A05B8">
        <w:rPr>
          <w:rFonts w:ascii="Arial" w:hAnsi="Arial" w:cs="Arial"/>
          <w:sz w:val="20"/>
          <w:szCs w:val="20"/>
        </w:rPr>
        <w:t xml:space="preserve"> role in hypersensitivity reactions. Ann. </w:t>
      </w:r>
      <w:proofErr w:type="spellStart"/>
      <w:r w:rsidRPr="009A05B8">
        <w:rPr>
          <w:rFonts w:ascii="Arial" w:hAnsi="Arial" w:cs="Arial"/>
          <w:sz w:val="20"/>
          <w:szCs w:val="20"/>
        </w:rPr>
        <w:t>Onc</w:t>
      </w:r>
      <w:proofErr w:type="spellEnd"/>
      <w:r w:rsidRPr="009A05B8">
        <w:rPr>
          <w:rFonts w:ascii="Arial" w:hAnsi="Arial" w:cs="Arial"/>
          <w:sz w:val="20"/>
          <w:szCs w:val="20"/>
        </w:rPr>
        <w:t>., 14: 1430 – 1437 2003.</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 xml:space="preserve">3) </w:t>
      </w:r>
      <w:proofErr w:type="spellStart"/>
      <w:r w:rsidRPr="009A05B8">
        <w:rPr>
          <w:rFonts w:ascii="Arial" w:hAnsi="Arial" w:cs="Arial"/>
          <w:sz w:val="20"/>
          <w:szCs w:val="20"/>
        </w:rPr>
        <w:t>Skubitz</w:t>
      </w:r>
      <w:proofErr w:type="spellEnd"/>
      <w:r w:rsidRPr="009A05B8">
        <w:rPr>
          <w:rFonts w:ascii="Arial" w:hAnsi="Arial" w:cs="Arial"/>
          <w:sz w:val="20"/>
          <w:szCs w:val="20"/>
        </w:rPr>
        <w:t xml:space="preserve">, K. M., </w:t>
      </w:r>
      <w:proofErr w:type="spellStart"/>
      <w:r w:rsidRPr="009A05B8">
        <w:rPr>
          <w:rFonts w:ascii="Arial" w:hAnsi="Arial" w:cs="Arial"/>
          <w:sz w:val="20"/>
          <w:szCs w:val="20"/>
        </w:rPr>
        <w:t>Skubitz</w:t>
      </w:r>
      <w:proofErr w:type="spellEnd"/>
      <w:r w:rsidRPr="009A05B8">
        <w:rPr>
          <w:rFonts w:ascii="Arial" w:hAnsi="Arial" w:cs="Arial"/>
          <w:sz w:val="20"/>
          <w:szCs w:val="20"/>
        </w:rPr>
        <w:t xml:space="preserve">, A. P. Mechanism of transient </w:t>
      </w:r>
      <w:proofErr w:type="spellStart"/>
      <w:r w:rsidRPr="009A05B8">
        <w:rPr>
          <w:rFonts w:ascii="Arial" w:hAnsi="Arial" w:cs="Arial"/>
          <w:sz w:val="20"/>
          <w:szCs w:val="20"/>
        </w:rPr>
        <w:t>dyspnea</w:t>
      </w:r>
      <w:proofErr w:type="spellEnd"/>
      <w:r w:rsidRPr="009A05B8">
        <w:rPr>
          <w:rFonts w:ascii="Arial" w:hAnsi="Arial" w:cs="Arial"/>
          <w:sz w:val="20"/>
          <w:szCs w:val="20"/>
        </w:rPr>
        <w:t xml:space="preserve"> induced by </w:t>
      </w:r>
      <w:proofErr w:type="spellStart"/>
      <w:r w:rsidRPr="009A05B8">
        <w:rPr>
          <w:rFonts w:ascii="Arial" w:hAnsi="Arial" w:cs="Arial"/>
          <w:sz w:val="20"/>
          <w:szCs w:val="20"/>
        </w:rPr>
        <w:t>pegylated</w:t>
      </w:r>
      <w:proofErr w:type="spellEnd"/>
      <w:r w:rsidRPr="009A05B8">
        <w:rPr>
          <w:rFonts w:ascii="Arial" w:hAnsi="Arial" w:cs="Arial"/>
          <w:sz w:val="20"/>
          <w:szCs w:val="20"/>
        </w:rPr>
        <w:t>-liposomal</w:t>
      </w:r>
    </w:p>
    <w:p w:rsidR="001707E3" w:rsidRPr="009A05B8" w:rsidRDefault="001707E3" w:rsidP="001707E3">
      <w:pPr>
        <w:autoSpaceDE w:val="0"/>
        <w:autoSpaceDN w:val="0"/>
        <w:adjustRightInd w:val="0"/>
        <w:spacing w:after="0" w:line="240" w:lineRule="auto"/>
        <w:rPr>
          <w:rFonts w:ascii="Arial" w:hAnsi="Arial" w:cs="Arial"/>
          <w:sz w:val="20"/>
          <w:szCs w:val="20"/>
        </w:rPr>
      </w:pPr>
      <w:proofErr w:type="gramStart"/>
      <w:r w:rsidRPr="009A05B8">
        <w:rPr>
          <w:rFonts w:ascii="Arial" w:hAnsi="Arial" w:cs="Arial"/>
          <w:sz w:val="20"/>
          <w:szCs w:val="20"/>
        </w:rPr>
        <w:t>doxorubicin</w:t>
      </w:r>
      <w:proofErr w:type="gramEnd"/>
      <w:r w:rsidRPr="009A05B8">
        <w:rPr>
          <w:rFonts w:ascii="Arial" w:hAnsi="Arial" w:cs="Arial"/>
          <w:sz w:val="20"/>
          <w:szCs w:val="20"/>
        </w:rPr>
        <w:t xml:space="preserve"> (</w:t>
      </w:r>
      <w:proofErr w:type="spellStart"/>
      <w:r w:rsidRPr="009A05B8">
        <w:rPr>
          <w:rFonts w:ascii="Arial" w:hAnsi="Arial" w:cs="Arial"/>
          <w:sz w:val="20"/>
          <w:szCs w:val="20"/>
        </w:rPr>
        <w:t>Doxil</w:t>
      </w:r>
      <w:proofErr w:type="spellEnd"/>
      <w:r w:rsidRPr="009A05B8">
        <w:rPr>
          <w:rFonts w:ascii="Arial" w:hAnsi="Arial" w:cs="Arial"/>
          <w:sz w:val="20"/>
          <w:szCs w:val="20"/>
        </w:rPr>
        <w:t xml:space="preserve">). </w:t>
      </w:r>
      <w:proofErr w:type="gramStart"/>
      <w:r w:rsidRPr="009A05B8">
        <w:rPr>
          <w:rFonts w:ascii="Arial" w:hAnsi="Arial" w:cs="Arial"/>
          <w:sz w:val="20"/>
          <w:szCs w:val="20"/>
        </w:rPr>
        <w:t>Anti-Cancer Drugs.</w:t>
      </w:r>
      <w:proofErr w:type="gramEnd"/>
      <w:r w:rsidRPr="009A05B8">
        <w:rPr>
          <w:rFonts w:ascii="Arial" w:hAnsi="Arial" w:cs="Arial"/>
          <w:sz w:val="20"/>
          <w:szCs w:val="20"/>
        </w:rPr>
        <w:t xml:space="preserve"> </w:t>
      </w:r>
      <w:proofErr w:type="gramStart"/>
      <w:r w:rsidRPr="009A05B8">
        <w:rPr>
          <w:rFonts w:ascii="Arial" w:hAnsi="Arial" w:cs="Arial"/>
          <w:sz w:val="20"/>
          <w:szCs w:val="20"/>
        </w:rPr>
        <w:t>9 :</w:t>
      </w:r>
      <w:proofErr w:type="gramEnd"/>
      <w:r w:rsidRPr="009A05B8">
        <w:rPr>
          <w:rFonts w:ascii="Arial" w:hAnsi="Arial" w:cs="Arial"/>
          <w:sz w:val="20"/>
          <w:szCs w:val="20"/>
        </w:rPr>
        <w:t xml:space="preserve"> 45-50, 1998.</w:t>
      </w:r>
    </w:p>
    <w:p w:rsidR="001707E3" w:rsidRPr="009A05B8" w:rsidRDefault="001707E3" w:rsidP="001707E3">
      <w:pPr>
        <w:autoSpaceDE w:val="0"/>
        <w:autoSpaceDN w:val="0"/>
        <w:adjustRightInd w:val="0"/>
        <w:spacing w:after="0" w:line="240" w:lineRule="auto"/>
        <w:rPr>
          <w:rFonts w:ascii="Arial" w:hAnsi="Arial" w:cs="Arial"/>
          <w:sz w:val="20"/>
          <w:szCs w:val="20"/>
        </w:rPr>
      </w:pPr>
      <w:r w:rsidRPr="009A05B8">
        <w:rPr>
          <w:rFonts w:ascii="Arial" w:hAnsi="Arial" w:cs="Arial"/>
          <w:sz w:val="20"/>
          <w:szCs w:val="20"/>
        </w:rPr>
        <w:t>4) Susan J. Edwards. Prevention and treatment of adverse effects related to chemotherapy for</w:t>
      </w:r>
    </w:p>
    <w:p w:rsidR="001707E3" w:rsidRPr="009A05B8" w:rsidRDefault="001707E3" w:rsidP="001707E3">
      <w:pPr>
        <w:spacing w:after="0"/>
        <w:rPr>
          <w:rFonts w:ascii="Arial" w:hAnsi="Arial" w:cs="Arial"/>
          <w:sz w:val="20"/>
          <w:szCs w:val="20"/>
        </w:rPr>
      </w:pPr>
      <w:proofErr w:type="gramStart"/>
      <w:r w:rsidRPr="009A05B8">
        <w:rPr>
          <w:rFonts w:ascii="Arial" w:hAnsi="Arial" w:cs="Arial"/>
          <w:sz w:val="20"/>
          <w:szCs w:val="20"/>
        </w:rPr>
        <w:t>recurrent</w:t>
      </w:r>
      <w:proofErr w:type="gramEnd"/>
      <w:r w:rsidRPr="009A05B8">
        <w:rPr>
          <w:rFonts w:ascii="Arial" w:hAnsi="Arial" w:cs="Arial"/>
          <w:sz w:val="20"/>
          <w:szCs w:val="20"/>
        </w:rPr>
        <w:t xml:space="preserve"> ovarian cancer. </w:t>
      </w:r>
      <w:proofErr w:type="gramStart"/>
      <w:r w:rsidRPr="009A05B8">
        <w:rPr>
          <w:rFonts w:ascii="Arial" w:hAnsi="Arial" w:cs="Arial"/>
          <w:sz w:val="20"/>
          <w:szCs w:val="20"/>
        </w:rPr>
        <w:t>Seminars in Oncology Nursing.</w:t>
      </w:r>
      <w:proofErr w:type="gramEnd"/>
      <w:r w:rsidRPr="009A05B8">
        <w:rPr>
          <w:rFonts w:ascii="Arial" w:hAnsi="Arial" w:cs="Arial"/>
          <w:sz w:val="20"/>
          <w:szCs w:val="20"/>
        </w:rPr>
        <w:t xml:space="preserve"> </w:t>
      </w:r>
      <w:proofErr w:type="gramStart"/>
      <w:r w:rsidRPr="009A05B8">
        <w:rPr>
          <w:rFonts w:ascii="Arial" w:hAnsi="Arial" w:cs="Arial"/>
          <w:sz w:val="20"/>
          <w:szCs w:val="20"/>
        </w:rPr>
        <w:t>19 :</w:t>
      </w:r>
      <w:proofErr w:type="gramEnd"/>
      <w:r w:rsidRPr="009A05B8">
        <w:rPr>
          <w:rFonts w:ascii="Arial" w:hAnsi="Arial" w:cs="Arial"/>
          <w:sz w:val="20"/>
          <w:szCs w:val="20"/>
        </w:rPr>
        <w:t xml:space="preserve"> 3, 19-39, 2003.</w:t>
      </w:r>
    </w:p>
    <w:p w:rsidR="001707E3" w:rsidRPr="009A05B8" w:rsidRDefault="001707E3" w:rsidP="001707E3">
      <w:pPr>
        <w:rPr>
          <w:rFonts w:ascii="Arial" w:hAnsi="Arial" w:cs="Arial"/>
          <w:sz w:val="20"/>
          <w:szCs w:val="20"/>
        </w:rPr>
      </w:pPr>
    </w:p>
    <w:p w:rsidR="001707E3" w:rsidRPr="009A05B8" w:rsidRDefault="001707E3" w:rsidP="001707E3">
      <w:pPr>
        <w:rPr>
          <w:rFonts w:ascii="Arial" w:hAnsi="Arial" w:cs="Arial"/>
          <w:sz w:val="20"/>
          <w:szCs w:val="20"/>
        </w:rPr>
      </w:pPr>
    </w:p>
    <w:p w:rsidR="001707E3" w:rsidRDefault="001707E3" w:rsidP="001707E3">
      <w:pPr>
        <w:spacing w:after="0"/>
      </w:pPr>
      <w:r>
        <w:lastRenderedPageBreak/>
        <w:t>Date:</w:t>
      </w:r>
      <w:r>
        <w:tab/>
        <w:t>October 15, 2008</w:t>
      </w:r>
    </w:p>
    <w:p w:rsidR="001707E3" w:rsidRDefault="001707E3" w:rsidP="001707E3">
      <w:pPr>
        <w:spacing w:after="0"/>
      </w:pPr>
      <w:r>
        <w:t>Topic:</w:t>
      </w:r>
      <w:r>
        <w:tab/>
        <w:t>CTCAE Help Desk Tickets – SOC Infections</w:t>
      </w:r>
    </w:p>
    <w:p w:rsidR="001707E3" w:rsidRDefault="001707E3" w:rsidP="001707E3">
      <w:pPr>
        <w:spacing w:after="0"/>
      </w:pPr>
      <w:r>
        <w:t>From:</w:t>
      </w:r>
      <w:r>
        <w:tab/>
        <w:t>Ann Setser</w:t>
      </w:r>
    </w:p>
    <w:p w:rsidR="001707E3" w:rsidRDefault="001707E3" w:rsidP="001707E3"/>
    <w:p w:rsidR="001707E3" w:rsidRDefault="001707E3" w:rsidP="001707E3">
      <w:r>
        <w:t>Consider adding to CTCAE v4.0:</w:t>
      </w:r>
    </w:p>
    <w:p w:rsidR="001707E3" w:rsidRDefault="001707E3" w:rsidP="001707E3">
      <w:pPr>
        <w:pStyle w:val="ListParagraph"/>
        <w:numPr>
          <w:ilvl w:val="0"/>
          <w:numId w:val="3"/>
        </w:numPr>
      </w:pPr>
      <w:r w:rsidRPr="00C66762">
        <w:t>Gastroenteritis</w:t>
      </w:r>
      <w:r>
        <w:t xml:space="preserve"> </w:t>
      </w:r>
      <w:proofErr w:type="spellStart"/>
      <w:r>
        <w:t>MedDRA</w:t>
      </w:r>
      <w:proofErr w:type="spellEnd"/>
      <w:r>
        <w:t xml:space="preserve"> LLT &amp; PT</w:t>
      </w:r>
    </w:p>
    <w:p w:rsidR="001707E3" w:rsidRDefault="001707E3" w:rsidP="001707E3">
      <w:pPr>
        <w:pStyle w:val="ListParagraph"/>
        <w:numPr>
          <w:ilvl w:val="0"/>
          <w:numId w:val="3"/>
        </w:numPr>
      </w:pPr>
      <w:r>
        <w:t xml:space="preserve">Sepsis </w:t>
      </w:r>
      <w:proofErr w:type="spellStart"/>
      <w:r>
        <w:t>MedDRA</w:t>
      </w:r>
      <w:proofErr w:type="spellEnd"/>
      <w:r>
        <w:t xml:space="preserve"> LLT &amp; PT</w:t>
      </w:r>
    </w:p>
    <w:p w:rsidR="001707E3" w:rsidRDefault="001707E3" w:rsidP="001707E3">
      <w:pPr>
        <w:pStyle w:val="ListParagraph"/>
        <w:numPr>
          <w:ilvl w:val="0"/>
          <w:numId w:val="3"/>
        </w:numPr>
      </w:pPr>
      <w:r w:rsidRPr="003251A9">
        <w:t>thrush=</w:t>
      </w:r>
      <w:proofErr w:type="spellStart"/>
      <w:r w:rsidRPr="003251A9">
        <w:t>candidiasis</w:t>
      </w:r>
      <w:proofErr w:type="spellEnd"/>
    </w:p>
    <w:p w:rsidR="001707E3" w:rsidRDefault="001707E3" w:rsidP="001707E3">
      <w:pPr>
        <w:pStyle w:val="ListParagraph"/>
        <w:numPr>
          <w:ilvl w:val="1"/>
          <w:numId w:val="3"/>
        </w:numPr>
      </w:pPr>
      <w:r w:rsidRPr="003251A9">
        <w:t xml:space="preserve">LLT Thrush for PT </w:t>
      </w:r>
      <w:proofErr w:type="spellStart"/>
      <w:r w:rsidRPr="003251A9">
        <w:t>Candidiasis</w:t>
      </w:r>
      <w:proofErr w:type="spellEnd"/>
    </w:p>
    <w:p w:rsidR="001707E3" w:rsidRDefault="001707E3" w:rsidP="005050A9">
      <w:pPr>
        <w:spacing w:after="0"/>
      </w:pPr>
    </w:p>
    <w:p w:rsidR="005050A9" w:rsidRDefault="005050A9" w:rsidP="005050A9">
      <w:pPr>
        <w:pStyle w:val="ListParagraph"/>
        <w:spacing w:after="0"/>
      </w:pPr>
    </w:p>
    <w:p w:rsidR="005050A9" w:rsidRPr="0077672C" w:rsidRDefault="005050A9" w:rsidP="005050A9"/>
    <w:p w:rsidR="006467A3" w:rsidRDefault="006467A3" w:rsidP="00E51BBC">
      <w:pPr>
        <w:spacing w:after="0"/>
      </w:pPr>
    </w:p>
    <w:sectPr w:rsidR="006467A3" w:rsidSect="003042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B3445"/>
    <w:multiLevelType w:val="hybridMultilevel"/>
    <w:tmpl w:val="D79645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31A422E"/>
    <w:multiLevelType w:val="hybridMultilevel"/>
    <w:tmpl w:val="07965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5E275B"/>
    <w:multiLevelType w:val="hybridMultilevel"/>
    <w:tmpl w:val="EE527B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1BBC"/>
    <w:rsid w:val="001707E3"/>
    <w:rsid w:val="001B561E"/>
    <w:rsid w:val="002145EB"/>
    <w:rsid w:val="003042DE"/>
    <w:rsid w:val="00314AA6"/>
    <w:rsid w:val="00316FF4"/>
    <w:rsid w:val="005050A9"/>
    <w:rsid w:val="006467A3"/>
    <w:rsid w:val="0077672C"/>
    <w:rsid w:val="00953F9F"/>
    <w:rsid w:val="00CE62DF"/>
    <w:rsid w:val="00E51B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2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5EB"/>
    <w:pPr>
      <w:ind w:left="720"/>
      <w:contextualSpacing/>
    </w:pPr>
  </w:style>
  <w:style w:type="paragraph" w:styleId="PlainText">
    <w:name w:val="Plain Text"/>
    <w:basedOn w:val="Normal"/>
    <w:link w:val="PlainTextChar"/>
    <w:rsid w:val="001707E3"/>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1707E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869</Words>
  <Characters>4957</Characters>
  <Application>Microsoft Office Word</Application>
  <DocSecurity>0</DocSecurity>
  <Lines>41</Lines>
  <Paragraphs>11</Paragraphs>
  <ScaleCrop>false</ScaleCrop>
  <Company>NCI</Company>
  <LinksUpToDate>false</LinksUpToDate>
  <CharactersWithSpaces>5815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2008-11-04T15:43:00Z</dcterms:created>
  <dcterms:modified xsi:type="dcterms:W3CDTF">2008-11-04T15:44:00Z</dcterms:modified>
</cp:coreProperties>
</file>