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240" w:rsidRPr="00494B91" w:rsidRDefault="00AE2240">
      <w:pPr>
        <w:autoSpaceDE w:val="0"/>
        <w:autoSpaceDN w:val="0"/>
        <w:adjustRightInd w:val="0"/>
        <w:rPr>
          <w:rFonts w:ascii="Arial" w:hAnsi="Arial" w:cs="Arial"/>
          <w:sz w:val="20"/>
          <w:szCs w:val="20"/>
        </w:rPr>
      </w:pPr>
    </w:p>
    <w:p w:rsidR="00AE2240" w:rsidRDefault="00AE2240">
      <w:pPr>
        <w:autoSpaceDE w:val="0"/>
        <w:autoSpaceDN w:val="0"/>
        <w:adjustRightInd w:val="0"/>
        <w:rPr>
          <w:rFonts w:ascii="Arial" w:hAnsi="Arial" w:cs="Arial"/>
          <w:sz w:val="20"/>
          <w:szCs w:val="20"/>
        </w:rPr>
      </w:pPr>
      <w:r w:rsidRPr="00494B91">
        <w:rPr>
          <w:rFonts w:ascii="Arial" w:hAnsi="Arial" w:cs="Arial"/>
          <w:sz w:val="20"/>
          <w:szCs w:val="20"/>
        </w:rPr>
        <w:t xml:space="preserve">Date: </w:t>
      </w:r>
      <w:r w:rsidR="00507875">
        <w:rPr>
          <w:rFonts w:ascii="Arial" w:hAnsi="Arial" w:cs="Arial"/>
          <w:sz w:val="20"/>
          <w:szCs w:val="20"/>
        </w:rPr>
        <w:tab/>
      </w:r>
      <w:r w:rsidRPr="00494B91">
        <w:rPr>
          <w:rFonts w:ascii="Arial" w:hAnsi="Arial" w:cs="Arial"/>
          <w:sz w:val="20"/>
          <w:szCs w:val="20"/>
        </w:rPr>
        <w:t>October 15, 2008</w:t>
      </w:r>
    </w:p>
    <w:p w:rsidR="0002014E" w:rsidRDefault="00507875">
      <w:pPr>
        <w:autoSpaceDE w:val="0"/>
        <w:autoSpaceDN w:val="0"/>
        <w:adjustRightInd w:val="0"/>
        <w:rPr>
          <w:rFonts w:ascii="Arial" w:hAnsi="Arial" w:cs="Arial"/>
          <w:sz w:val="20"/>
          <w:szCs w:val="20"/>
        </w:rPr>
      </w:pPr>
      <w:r>
        <w:rPr>
          <w:rFonts w:ascii="Arial" w:hAnsi="Arial" w:cs="Arial"/>
          <w:sz w:val="20"/>
          <w:szCs w:val="20"/>
        </w:rPr>
        <w:t>Topic:</w:t>
      </w:r>
      <w:r>
        <w:rPr>
          <w:rFonts w:ascii="Arial" w:hAnsi="Arial" w:cs="Arial"/>
          <w:sz w:val="20"/>
          <w:szCs w:val="20"/>
        </w:rPr>
        <w:tab/>
        <w:t xml:space="preserve">CTCAE v3.0 Help Desk Tickets </w:t>
      </w:r>
      <w:r w:rsidR="00AA1CD3">
        <w:rPr>
          <w:rFonts w:ascii="Arial" w:hAnsi="Arial" w:cs="Arial"/>
          <w:sz w:val="20"/>
          <w:szCs w:val="20"/>
        </w:rPr>
        <w:t>–</w:t>
      </w:r>
      <w:r>
        <w:rPr>
          <w:rFonts w:ascii="Arial" w:hAnsi="Arial" w:cs="Arial"/>
          <w:sz w:val="20"/>
          <w:szCs w:val="20"/>
        </w:rPr>
        <w:t xml:space="preserve"> </w:t>
      </w:r>
      <w:r w:rsidR="00AA1CD3">
        <w:rPr>
          <w:rFonts w:ascii="Arial" w:hAnsi="Arial" w:cs="Arial"/>
          <w:sz w:val="20"/>
          <w:szCs w:val="20"/>
        </w:rPr>
        <w:t xml:space="preserve">WG # 7 </w:t>
      </w:r>
      <w:r w:rsidR="00AE2240" w:rsidRPr="00494B91">
        <w:rPr>
          <w:rFonts w:ascii="Arial" w:hAnsi="Arial" w:cs="Arial"/>
          <w:sz w:val="20"/>
          <w:szCs w:val="20"/>
        </w:rPr>
        <w:t xml:space="preserve">SOC: </w:t>
      </w:r>
      <w:proofErr w:type="spellStart"/>
      <w:r w:rsidR="00AE2240" w:rsidRPr="00494B91">
        <w:rPr>
          <w:rFonts w:ascii="Arial" w:hAnsi="Arial" w:cs="Arial"/>
          <w:sz w:val="20"/>
          <w:szCs w:val="20"/>
        </w:rPr>
        <w:t>Neoplasms</w:t>
      </w:r>
      <w:proofErr w:type="spellEnd"/>
      <w:r w:rsidR="00AE2240" w:rsidRPr="00494B91">
        <w:rPr>
          <w:rFonts w:ascii="Arial" w:hAnsi="Arial" w:cs="Arial"/>
          <w:sz w:val="20"/>
          <w:szCs w:val="20"/>
        </w:rPr>
        <w:t xml:space="preserve"> benign, malignant and unspecified (</w:t>
      </w:r>
      <w:proofErr w:type="spellStart"/>
      <w:r w:rsidR="00AE2240" w:rsidRPr="00494B91">
        <w:rPr>
          <w:rFonts w:ascii="Arial" w:hAnsi="Arial" w:cs="Arial"/>
          <w:sz w:val="20"/>
          <w:szCs w:val="20"/>
        </w:rPr>
        <w:t>incl</w:t>
      </w:r>
      <w:proofErr w:type="spellEnd"/>
      <w:r w:rsidR="00AE2240" w:rsidRPr="00494B91">
        <w:rPr>
          <w:rFonts w:ascii="Arial" w:hAnsi="Arial" w:cs="Arial"/>
          <w:sz w:val="20"/>
          <w:szCs w:val="20"/>
        </w:rPr>
        <w:t xml:space="preserve"> cysts and polyps)</w:t>
      </w:r>
    </w:p>
    <w:p w:rsidR="00507875" w:rsidRPr="00494B91" w:rsidRDefault="00507875">
      <w:pPr>
        <w:autoSpaceDE w:val="0"/>
        <w:autoSpaceDN w:val="0"/>
        <w:adjustRightInd w:val="0"/>
        <w:rPr>
          <w:rFonts w:ascii="Arial" w:hAnsi="Arial" w:cs="Arial"/>
          <w:sz w:val="20"/>
          <w:szCs w:val="20"/>
        </w:rPr>
      </w:pPr>
      <w:r>
        <w:rPr>
          <w:rFonts w:ascii="Arial" w:hAnsi="Arial" w:cs="Arial"/>
          <w:sz w:val="20"/>
          <w:szCs w:val="20"/>
        </w:rPr>
        <w:t>From:</w:t>
      </w:r>
      <w:r>
        <w:rPr>
          <w:rFonts w:ascii="Arial" w:hAnsi="Arial" w:cs="Arial"/>
          <w:sz w:val="20"/>
          <w:szCs w:val="20"/>
        </w:rPr>
        <w:tab/>
        <w:t>Ann Setser</w:t>
      </w:r>
    </w:p>
    <w:p w:rsidR="0002014E" w:rsidRPr="00494B91" w:rsidRDefault="0002014E" w:rsidP="00AE2240">
      <w:pPr>
        <w:autoSpaceDE w:val="0"/>
        <w:autoSpaceDN w:val="0"/>
        <w:adjustRightInd w:val="0"/>
        <w:rPr>
          <w:rFonts w:ascii="Arial" w:hAnsi="Arial" w:cs="Arial"/>
          <w:sz w:val="20"/>
          <w:szCs w:val="20"/>
        </w:rPr>
      </w:pPr>
    </w:p>
    <w:p w:rsidR="0002014E" w:rsidRPr="00494B91" w:rsidRDefault="0002014E">
      <w:pPr>
        <w:autoSpaceDE w:val="0"/>
        <w:autoSpaceDN w:val="0"/>
        <w:adjustRightInd w:val="0"/>
        <w:rPr>
          <w:rFonts w:ascii="Arial" w:hAnsi="Arial" w:cs="Arial"/>
          <w:sz w:val="20"/>
          <w:szCs w:val="20"/>
        </w:rPr>
      </w:pPr>
    </w:p>
    <w:p w:rsidR="0002014E" w:rsidRPr="00494B91" w:rsidRDefault="0002014E">
      <w:pPr>
        <w:autoSpaceDE w:val="0"/>
        <w:autoSpaceDN w:val="0"/>
        <w:adjustRightInd w:val="0"/>
        <w:rPr>
          <w:rFonts w:ascii="Arial" w:hAnsi="Arial" w:cs="Arial"/>
          <w:sz w:val="20"/>
          <w:szCs w:val="20"/>
        </w:rPr>
      </w:pPr>
      <w:r w:rsidRPr="00494B91">
        <w:rPr>
          <w:rFonts w:ascii="Arial" w:hAnsi="Arial" w:cs="Arial"/>
          <w:sz w:val="20"/>
          <w:szCs w:val="20"/>
        </w:rPr>
        <w:t>I have been reviewing the new CTCAE v3.0 grading scheme, as I am currently developing new clinical trials that require the new CTCAE.   I have a few questions and clarifications required.  Could you please review and let me know what needs to be done in the instances listed below?</w:t>
      </w:r>
    </w:p>
    <w:p w:rsidR="0002014E" w:rsidRPr="00494B91" w:rsidRDefault="0002014E">
      <w:pPr>
        <w:autoSpaceDE w:val="0"/>
        <w:autoSpaceDN w:val="0"/>
        <w:adjustRightInd w:val="0"/>
        <w:rPr>
          <w:rFonts w:ascii="Arial" w:hAnsi="Arial" w:cs="Arial"/>
          <w:sz w:val="20"/>
          <w:szCs w:val="20"/>
        </w:rPr>
      </w:pPr>
    </w:p>
    <w:p w:rsidR="0002014E" w:rsidRPr="00494B91" w:rsidRDefault="0002014E">
      <w:pPr>
        <w:pStyle w:val="Heading1"/>
      </w:pPr>
    </w:p>
    <w:p w:rsidR="00AE2240" w:rsidRPr="00494B91" w:rsidRDefault="0002014E" w:rsidP="00C71A47">
      <w:pPr>
        <w:autoSpaceDE w:val="0"/>
        <w:autoSpaceDN w:val="0"/>
        <w:adjustRightInd w:val="0"/>
        <w:rPr>
          <w:rFonts w:ascii="Arial" w:hAnsi="Arial" w:cs="Arial"/>
          <w:sz w:val="20"/>
          <w:szCs w:val="20"/>
        </w:rPr>
      </w:pPr>
      <w:proofErr w:type="spellStart"/>
      <w:r w:rsidRPr="00494B91">
        <w:rPr>
          <w:rFonts w:ascii="Arial" w:hAnsi="Arial" w:cs="Arial"/>
          <w:sz w:val="20"/>
          <w:szCs w:val="20"/>
        </w:rPr>
        <w:t>Myelodysplasia</w:t>
      </w:r>
      <w:proofErr w:type="spellEnd"/>
      <w:r w:rsidRPr="00494B91">
        <w:rPr>
          <w:rFonts w:ascii="Arial" w:hAnsi="Arial" w:cs="Arial"/>
          <w:sz w:val="20"/>
          <w:szCs w:val="20"/>
        </w:rPr>
        <w:t xml:space="preserve"> Grade 3 states '(blasts &lt;5%)' Grade 4 states (blasts &gt; 5%) What happens at =5%, should this be incorporated in to Grade 3 or 4? Ann's Reply: </w:t>
      </w:r>
    </w:p>
    <w:p w:rsidR="00C71A47" w:rsidRPr="00494B91" w:rsidRDefault="00C71A47" w:rsidP="00C71A47">
      <w:pPr>
        <w:autoSpaceDE w:val="0"/>
        <w:autoSpaceDN w:val="0"/>
        <w:adjustRightInd w:val="0"/>
        <w:rPr>
          <w:rFonts w:ascii="Arial" w:hAnsi="Arial" w:cs="Arial"/>
          <w:sz w:val="20"/>
          <w:szCs w:val="20"/>
        </w:rPr>
      </w:pPr>
    </w:p>
    <w:p w:rsidR="0002014E" w:rsidRPr="00494B91" w:rsidRDefault="00AE2240" w:rsidP="00C71A47">
      <w:pPr>
        <w:pBdr>
          <w:bottom w:val="single" w:sz="6" w:space="1" w:color="auto"/>
        </w:pBdr>
        <w:autoSpaceDE w:val="0"/>
        <w:autoSpaceDN w:val="0"/>
        <w:adjustRightInd w:val="0"/>
        <w:rPr>
          <w:rFonts w:ascii="Arial" w:hAnsi="Arial" w:cs="Arial"/>
          <w:sz w:val="20"/>
          <w:szCs w:val="20"/>
        </w:rPr>
      </w:pPr>
      <w:r w:rsidRPr="00494B91">
        <w:rPr>
          <w:rFonts w:ascii="Arial" w:hAnsi="Arial" w:cs="Arial"/>
          <w:sz w:val="20"/>
          <w:szCs w:val="20"/>
        </w:rPr>
        <w:t xml:space="preserve">CTEP Response: </w:t>
      </w:r>
      <w:r w:rsidR="0002014E" w:rsidRPr="00494B91">
        <w:rPr>
          <w:rFonts w:ascii="Arial" w:hAnsi="Arial" w:cs="Arial"/>
          <w:sz w:val="20"/>
          <w:szCs w:val="20"/>
        </w:rPr>
        <w:t>GRADE 3 SHOULD READ 'LESS THAN OR EQUAL TO 5%; GRADE 4 IS LESS THAN 5%</w:t>
      </w:r>
    </w:p>
    <w:p w:rsidR="00494B91" w:rsidRDefault="00494B91" w:rsidP="00494B91">
      <w:pPr>
        <w:rPr>
          <w:rFonts w:ascii="Arial" w:hAnsi="Arial" w:cs="Arial"/>
          <w:sz w:val="20"/>
          <w:szCs w:val="20"/>
        </w:rPr>
      </w:pPr>
    </w:p>
    <w:p w:rsidR="00494B91" w:rsidRPr="00494B91" w:rsidRDefault="00494B91" w:rsidP="00494B91">
      <w:pPr>
        <w:rPr>
          <w:rFonts w:ascii="Arial" w:hAnsi="Arial" w:cs="Arial"/>
          <w:sz w:val="20"/>
          <w:szCs w:val="20"/>
        </w:rPr>
      </w:pPr>
      <w:r w:rsidRPr="00494B91">
        <w:rPr>
          <w:rFonts w:ascii="Arial" w:hAnsi="Arial" w:cs="Arial"/>
          <w:sz w:val="20"/>
          <w:szCs w:val="20"/>
        </w:rPr>
        <w:t>Suggestions for addition to CTCAE v4.0:  Oncologic emergencies</w:t>
      </w:r>
    </w:p>
    <w:p w:rsidR="00494B91" w:rsidRDefault="00494B91" w:rsidP="00494B91">
      <w:pPr>
        <w:rPr>
          <w:rFonts w:ascii="Arial" w:hAnsi="Arial" w:cs="Arial"/>
          <w:sz w:val="20"/>
          <w:szCs w:val="20"/>
        </w:rPr>
      </w:pPr>
    </w:p>
    <w:p w:rsidR="00494B91" w:rsidRPr="00507875" w:rsidRDefault="00494B91" w:rsidP="00507875">
      <w:pPr>
        <w:pStyle w:val="ListParagraph"/>
        <w:numPr>
          <w:ilvl w:val="0"/>
          <w:numId w:val="2"/>
        </w:numPr>
        <w:rPr>
          <w:rFonts w:ascii="Arial" w:hAnsi="Arial" w:cs="Arial"/>
          <w:sz w:val="20"/>
          <w:szCs w:val="20"/>
        </w:rPr>
      </w:pPr>
      <w:proofErr w:type="spellStart"/>
      <w:r w:rsidRPr="00507875">
        <w:rPr>
          <w:rFonts w:ascii="Arial" w:hAnsi="Arial" w:cs="Arial"/>
          <w:sz w:val="20"/>
          <w:szCs w:val="20"/>
        </w:rPr>
        <w:t>MedDRA</w:t>
      </w:r>
      <w:proofErr w:type="spellEnd"/>
      <w:r w:rsidRPr="00507875">
        <w:rPr>
          <w:rFonts w:ascii="Arial" w:hAnsi="Arial" w:cs="Arial"/>
          <w:sz w:val="20"/>
          <w:szCs w:val="20"/>
        </w:rPr>
        <w:t xml:space="preserve">: Pericardial effusion malignant SOC </w:t>
      </w:r>
      <w:proofErr w:type="spellStart"/>
      <w:r w:rsidRPr="00507875">
        <w:rPr>
          <w:rFonts w:ascii="Arial" w:hAnsi="Arial" w:cs="Arial"/>
          <w:sz w:val="20"/>
          <w:szCs w:val="20"/>
        </w:rPr>
        <w:t>Neoplasms</w:t>
      </w:r>
      <w:proofErr w:type="spellEnd"/>
      <w:r w:rsidRPr="00507875">
        <w:rPr>
          <w:rFonts w:ascii="Arial" w:hAnsi="Arial" w:cs="Arial"/>
          <w:sz w:val="20"/>
          <w:szCs w:val="20"/>
        </w:rPr>
        <w:t xml:space="preserve"> benign, malignant and unspecified (</w:t>
      </w:r>
      <w:proofErr w:type="spellStart"/>
      <w:r w:rsidRPr="00507875">
        <w:rPr>
          <w:rFonts w:ascii="Arial" w:hAnsi="Arial" w:cs="Arial"/>
          <w:sz w:val="20"/>
          <w:szCs w:val="20"/>
        </w:rPr>
        <w:t>incl</w:t>
      </w:r>
      <w:proofErr w:type="spellEnd"/>
      <w:r w:rsidRPr="00507875">
        <w:rPr>
          <w:rFonts w:ascii="Arial" w:hAnsi="Arial" w:cs="Arial"/>
          <w:sz w:val="20"/>
          <w:szCs w:val="20"/>
        </w:rPr>
        <w:t xml:space="preserve"> cysts and polyps)</w:t>
      </w:r>
    </w:p>
    <w:p w:rsidR="00494B91" w:rsidRDefault="00494B91" w:rsidP="00494B91">
      <w:pPr>
        <w:rPr>
          <w:rFonts w:ascii="Arial" w:hAnsi="Arial" w:cs="Arial"/>
          <w:sz w:val="20"/>
          <w:szCs w:val="20"/>
        </w:rPr>
      </w:pPr>
    </w:p>
    <w:p w:rsidR="00494B91" w:rsidRDefault="00494B91" w:rsidP="00507875">
      <w:pPr>
        <w:pStyle w:val="ListParagraph"/>
        <w:numPr>
          <w:ilvl w:val="0"/>
          <w:numId w:val="2"/>
        </w:numPr>
        <w:rPr>
          <w:rFonts w:ascii="Arial" w:hAnsi="Arial" w:cs="Arial"/>
          <w:sz w:val="20"/>
          <w:szCs w:val="20"/>
        </w:rPr>
      </w:pPr>
      <w:proofErr w:type="spellStart"/>
      <w:r w:rsidRPr="00507875">
        <w:rPr>
          <w:rFonts w:ascii="Arial" w:hAnsi="Arial" w:cs="Arial"/>
          <w:sz w:val="20"/>
          <w:szCs w:val="20"/>
        </w:rPr>
        <w:t>MedDRA</w:t>
      </w:r>
      <w:proofErr w:type="spellEnd"/>
      <w:r w:rsidRPr="00507875">
        <w:rPr>
          <w:rFonts w:ascii="Arial" w:hAnsi="Arial" w:cs="Arial"/>
          <w:sz w:val="20"/>
          <w:szCs w:val="20"/>
        </w:rPr>
        <w:t xml:space="preserve">: </w:t>
      </w:r>
      <w:proofErr w:type="spellStart"/>
      <w:r w:rsidRPr="00507875">
        <w:rPr>
          <w:rFonts w:ascii="Arial" w:hAnsi="Arial" w:cs="Arial"/>
          <w:sz w:val="20"/>
          <w:szCs w:val="20"/>
        </w:rPr>
        <w:t>Leukostasis</w:t>
      </w:r>
      <w:proofErr w:type="spellEnd"/>
      <w:r w:rsidRPr="00507875">
        <w:rPr>
          <w:rFonts w:ascii="Arial" w:hAnsi="Arial" w:cs="Arial"/>
          <w:sz w:val="20"/>
          <w:szCs w:val="20"/>
        </w:rPr>
        <w:t xml:space="preserve"> SOC </w:t>
      </w:r>
      <w:proofErr w:type="spellStart"/>
      <w:r w:rsidRPr="00507875">
        <w:rPr>
          <w:rFonts w:ascii="Arial" w:hAnsi="Arial" w:cs="Arial"/>
          <w:sz w:val="20"/>
          <w:szCs w:val="20"/>
        </w:rPr>
        <w:t>Neoplasms</w:t>
      </w:r>
      <w:proofErr w:type="spellEnd"/>
      <w:r w:rsidRPr="00507875">
        <w:rPr>
          <w:rFonts w:ascii="Arial" w:hAnsi="Arial" w:cs="Arial"/>
          <w:sz w:val="20"/>
          <w:szCs w:val="20"/>
        </w:rPr>
        <w:t xml:space="preserve"> benign, malignant and unspecified (</w:t>
      </w:r>
      <w:proofErr w:type="spellStart"/>
      <w:r w:rsidRPr="00507875">
        <w:rPr>
          <w:rFonts w:ascii="Arial" w:hAnsi="Arial" w:cs="Arial"/>
          <w:sz w:val="20"/>
          <w:szCs w:val="20"/>
        </w:rPr>
        <w:t>incl</w:t>
      </w:r>
      <w:proofErr w:type="spellEnd"/>
      <w:r w:rsidRPr="00507875">
        <w:rPr>
          <w:rFonts w:ascii="Arial" w:hAnsi="Arial" w:cs="Arial"/>
          <w:sz w:val="20"/>
          <w:szCs w:val="20"/>
        </w:rPr>
        <w:t xml:space="preserve"> cysts and polyps)</w:t>
      </w:r>
    </w:p>
    <w:p w:rsidR="00CD6EE0" w:rsidRPr="00CD6EE0" w:rsidRDefault="00CD6EE0" w:rsidP="00CD6EE0">
      <w:pPr>
        <w:pStyle w:val="ListParagraph"/>
        <w:rPr>
          <w:rFonts w:ascii="Arial" w:hAnsi="Arial" w:cs="Arial"/>
          <w:sz w:val="20"/>
          <w:szCs w:val="20"/>
        </w:rPr>
      </w:pPr>
    </w:p>
    <w:p w:rsidR="00CD6EE0" w:rsidRDefault="00CD6EE0" w:rsidP="00507875">
      <w:pPr>
        <w:pStyle w:val="ListParagraph"/>
        <w:numPr>
          <w:ilvl w:val="0"/>
          <w:numId w:val="2"/>
        </w:numPr>
        <w:rPr>
          <w:rFonts w:ascii="Arial" w:hAnsi="Arial" w:cs="Arial"/>
          <w:sz w:val="20"/>
          <w:szCs w:val="20"/>
        </w:rPr>
      </w:pPr>
      <w:r w:rsidRPr="00CD6EE0">
        <w:rPr>
          <w:rFonts w:ascii="Arial" w:hAnsi="Arial" w:cs="Arial"/>
          <w:sz w:val="20"/>
          <w:szCs w:val="20"/>
        </w:rPr>
        <w:t>hemorrhage melanoma lesion</w:t>
      </w:r>
      <w:r>
        <w:rPr>
          <w:rFonts w:ascii="Arial" w:hAnsi="Arial" w:cs="Arial"/>
          <w:sz w:val="20"/>
          <w:szCs w:val="20"/>
        </w:rPr>
        <w:t xml:space="preserve"> – not in </w:t>
      </w:r>
      <w:proofErr w:type="spellStart"/>
      <w:r>
        <w:rPr>
          <w:rFonts w:ascii="Arial" w:hAnsi="Arial" w:cs="Arial"/>
          <w:sz w:val="20"/>
          <w:szCs w:val="20"/>
        </w:rPr>
        <w:t>MedDRA</w:t>
      </w:r>
      <w:proofErr w:type="spellEnd"/>
    </w:p>
    <w:p w:rsidR="00CD6EE0" w:rsidRPr="00CD6EE0" w:rsidRDefault="00CD6EE0" w:rsidP="00CD6EE0">
      <w:pPr>
        <w:pStyle w:val="ListParagraph"/>
        <w:rPr>
          <w:rFonts w:ascii="Arial" w:hAnsi="Arial" w:cs="Arial"/>
          <w:sz w:val="20"/>
          <w:szCs w:val="20"/>
        </w:rPr>
      </w:pPr>
    </w:p>
    <w:p w:rsidR="00494B91" w:rsidRDefault="00CD6EE0" w:rsidP="00CD6EE0">
      <w:pPr>
        <w:pStyle w:val="ListParagraph"/>
        <w:numPr>
          <w:ilvl w:val="1"/>
          <w:numId w:val="2"/>
        </w:numPr>
        <w:pBdr>
          <w:bottom w:val="single" w:sz="6" w:space="1" w:color="auto"/>
        </w:pBdr>
        <w:autoSpaceDE w:val="0"/>
        <w:autoSpaceDN w:val="0"/>
        <w:adjustRightInd w:val="0"/>
        <w:rPr>
          <w:rFonts w:ascii="Arial" w:hAnsi="Arial" w:cs="Arial"/>
          <w:sz w:val="20"/>
          <w:szCs w:val="20"/>
        </w:rPr>
      </w:pPr>
      <w:r w:rsidRPr="00CD6EE0">
        <w:rPr>
          <w:rFonts w:ascii="Arial" w:hAnsi="Arial" w:cs="Arial"/>
          <w:sz w:val="20"/>
          <w:szCs w:val="20"/>
        </w:rPr>
        <w:t>Could this be LLT Hemorrhagic tumor necrosis</w:t>
      </w:r>
      <w:proofErr w:type="gramStart"/>
      <w:r w:rsidRPr="00CD6EE0">
        <w:rPr>
          <w:rFonts w:ascii="Arial" w:hAnsi="Arial" w:cs="Arial"/>
          <w:sz w:val="20"/>
          <w:szCs w:val="20"/>
        </w:rPr>
        <w:t>?;</w:t>
      </w:r>
      <w:proofErr w:type="gramEnd"/>
      <w:r w:rsidRPr="00CD6EE0">
        <w:rPr>
          <w:rFonts w:ascii="Arial" w:hAnsi="Arial" w:cs="Arial"/>
          <w:sz w:val="20"/>
          <w:szCs w:val="20"/>
        </w:rPr>
        <w:t xml:space="preserve"> LLT Tumor hemorrhage?</w:t>
      </w:r>
    </w:p>
    <w:p w:rsidR="00752592" w:rsidRDefault="00752592" w:rsidP="00752592">
      <w:pPr>
        <w:autoSpaceDE w:val="0"/>
        <w:autoSpaceDN w:val="0"/>
        <w:adjustRightInd w:val="0"/>
        <w:rPr>
          <w:rFonts w:ascii="Arial" w:hAnsi="Arial" w:cs="Arial"/>
          <w:sz w:val="20"/>
          <w:szCs w:val="20"/>
        </w:rPr>
      </w:pPr>
      <w:r w:rsidRPr="00AF41CE">
        <w:rPr>
          <w:rFonts w:ascii="Arial" w:hAnsi="Arial" w:cs="Arial"/>
          <w:sz w:val="20"/>
          <w:szCs w:val="20"/>
        </w:rPr>
        <w:t xml:space="preserve">Date: </w:t>
      </w:r>
      <w:r>
        <w:rPr>
          <w:rFonts w:ascii="Arial" w:hAnsi="Arial" w:cs="Arial"/>
          <w:sz w:val="20"/>
          <w:szCs w:val="20"/>
        </w:rPr>
        <w:tab/>
      </w:r>
      <w:r w:rsidRPr="00AF41CE">
        <w:rPr>
          <w:rFonts w:ascii="Arial" w:hAnsi="Arial" w:cs="Arial"/>
          <w:sz w:val="20"/>
          <w:szCs w:val="20"/>
        </w:rPr>
        <w:t>October 15, 2008</w:t>
      </w:r>
    </w:p>
    <w:p w:rsidR="00752592" w:rsidRDefault="00752592" w:rsidP="00752592">
      <w:pPr>
        <w:autoSpaceDE w:val="0"/>
        <w:autoSpaceDN w:val="0"/>
        <w:adjustRightInd w:val="0"/>
        <w:ind w:left="720" w:hanging="720"/>
        <w:rPr>
          <w:rFonts w:ascii="Arial" w:hAnsi="Arial" w:cs="Arial"/>
          <w:sz w:val="20"/>
          <w:szCs w:val="20"/>
        </w:rPr>
      </w:pPr>
      <w:r>
        <w:rPr>
          <w:rFonts w:ascii="Arial" w:hAnsi="Arial" w:cs="Arial"/>
          <w:sz w:val="20"/>
          <w:szCs w:val="20"/>
        </w:rPr>
        <w:t>Topic:</w:t>
      </w:r>
      <w:r>
        <w:rPr>
          <w:rFonts w:ascii="Arial" w:hAnsi="Arial" w:cs="Arial"/>
          <w:sz w:val="20"/>
          <w:szCs w:val="20"/>
        </w:rPr>
        <w:tab/>
        <w:t xml:space="preserve">CTCAE v3.0 Help Desk Tickets </w:t>
      </w:r>
      <w:r w:rsidRPr="00AF41CE">
        <w:rPr>
          <w:rFonts w:ascii="Arial" w:hAnsi="Arial" w:cs="Arial"/>
          <w:sz w:val="20"/>
          <w:szCs w:val="20"/>
        </w:rPr>
        <w:t>SOC: General disorders and administration site conditions</w:t>
      </w:r>
    </w:p>
    <w:p w:rsidR="00752592" w:rsidRPr="00AF41CE" w:rsidRDefault="00752592" w:rsidP="00752592">
      <w:pPr>
        <w:autoSpaceDE w:val="0"/>
        <w:autoSpaceDN w:val="0"/>
        <w:adjustRightInd w:val="0"/>
        <w:ind w:left="720" w:hanging="720"/>
        <w:rPr>
          <w:rFonts w:ascii="Arial" w:hAnsi="Arial" w:cs="Arial"/>
          <w:sz w:val="20"/>
          <w:szCs w:val="20"/>
        </w:rPr>
      </w:pPr>
      <w:r>
        <w:rPr>
          <w:rFonts w:ascii="Arial" w:hAnsi="Arial" w:cs="Arial"/>
          <w:sz w:val="20"/>
          <w:szCs w:val="20"/>
        </w:rPr>
        <w:t>From:</w:t>
      </w:r>
      <w:r>
        <w:rPr>
          <w:rFonts w:ascii="Arial" w:hAnsi="Arial" w:cs="Arial"/>
          <w:sz w:val="20"/>
          <w:szCs w:val="20"/>
        </w:rPr>
        <w:tab/>
        <w:t>Ann Setser</w:t>
      </w:r>
    </w:p>
    <w:p w:rsidR="00752592" w:rsidRPr="00AF41CE" w:rsidRDefault="00752592" w:rsidP="00752592">
      <w:pPr>
        <w:autoSpaceDE w:val="0"/>
        <w:autoSpaceDN w:val="0"/>
        <w:adjustRightInd w:val="0"/>
        <w:rPr>
          <w:rFonts w:ascii="Arial" w:hAnsi="Arial" w:cs="Arial"/>
          <w:sz w:val="20"/>
          <w:szCs w:val="20"/>
        </w:rPr>
      </w:pPr>
    </w:p>
    <w:p w:rsidR="00752592" w:rsidRPr="00AF41CE" w:rsidRDefault="00752592" w:rsidP="00752592">
      <w:pPr>
        <w:autoSpaceDE w:val="0"/>
        <w:autoSpaceDN w:val="0"/>
        <w:adjustRightInd w:val="0"/>
        <w:rPr>
          <w:rFonts w:ascii="Arial" w:hAnsi="Arial" w:cs="Arial"/>
          <w:sz w:val="20"/>
          <w:szCs w:val="20"/>
        </w:rPr>
      </w:pPr>
    </w:p>
    <w:p w:rsidR="00752592" w:rsidRPr="00AF41CE" w:rsidRDefault="00752592" w:rsidP="00752592">
      <w:pPr>
        <w:autoSpaceDE w:val="0"/>
        <w:autoSpaceDN w:val="0"/>
        <w:adjustRightInd w:val="0"/>
        <w:rPr>
          <w:rFonts w:ascii="Arial" w:hAnsi="Arial" w:cs="Arial"/>
          <w:b/>
          <w:sz w:val="20"/>
          <w:szCs w:val="20"/>
        </w:rPr>
      </w:pPr>
      <w:r w:rsidRPr="00AF41CE">
        <w:rPr>
          <w:rFonts w:ascii="Arial" w:hAnsi="Arial" w:cs="Arial"/>
          <w:b/>
          <w:sz w:val="20"/>
          <w:szCs w:val="20"/>
        </w:rPr>
        <w:t>Death</w:t>
      </w:r>
    </w:p>
    <w:p w:rsidR="00752592" w:rsidRPr="00AF41CE" w:rsidRDefault="00752592" w:rsidP="00752592">
      <w:pPr>
        <w:autoSpaceDE w:val="0"/>
        <w:autoSpaceDN w:val="0"/>
        <w:adjustRightInd w:val="0"/>
        <w:rPr>
          <w:rFonts w:ascii="Arial" w:hAnsi="Arial" w:cs="Arial"/>
          <w:sz w:val="20"/>
          <w:szCs w:val="20"/>
        </w:rPr>
      </w:pPr>
      <w:r w:rsidRPr="00AF41CE">
        <w:rPr>
          <w:rFonts w:ascii="Arial" w:hAnsi="Arial" w:cs="Arial"/>
          <w:sz w:val="20"/>
          <w:szCs w:val="20"/>
        </w:rPr>
        <w:t xml:space="preserve">I am currently going over our default grading rules and was somewhat surprised to see that while there is no Grade 4 for Acne there is Grade 5 - Death. </w:t>
      </w:r>
    </w:p>
    <w:p w:rsidR="00752592" w:rsidRPr="00AF41CE" w:rsidRDefault="00752592" w:rsidP="00752592">
      <w:pPr>
        <w:pBdr>
          <w:bottom w:val="single" w:sz="6" w:space="1" w:color="auto"/>
        </w:pBdr>
        <w:autoSpaceDE w:val="0"/>
        <w:autoSpaceDN w:val="0"/>
        <w:adjustRightInd w:val="0"/>
        <w:rPr>
          <w:rFonts w:ascii="Arial" w:hAnsi="Arial" w:cs="Arial"/>
          <w:sz w:val="20"/>
          <w:szCs w:val="20"/>
        </w:rPr>
      </w:pPr>
    </w:p>
    <w:p w:rsidR="00752592" w:rsidRDefault="00752592" w:rsidP="00752592">
      <w:pPr>
        <w:autoSpaceDE w:val="0"/>
        <w:autoSpaceDN w:val="0"/>
        <w:adjustRightInd w:val="0"/>
        <w:rPr>
          <w:rFonts w:ascii="Arial" w:hAnsi="Arial" w:cs="Arial"/>
          <w:sz w:val="20"/>
          <w:szCs w:val="20"/>
        </w:rPr>
      </w:pPr>
    </w:p>
    <w:p w:rsidR="00752592" w:rsidRPr="00AE2240" w:rsidRDefault="00752592" w:rsidP="00752592">
      <w:pPr>
        <w:autoSpaceDE w:val="0"/>
        <w:autoSpaceDN w:val="0"/>
        <w:adjustRightInd w:val="0"/>
        <w:rPr>
          <w:rFonts w:ascii="Arial" w:hAnsi="Arial" w:cs="Arial"/>
          <w:sz w:val="20"/>
          <w:szCs w:val="20"/>
        </w:rPr>
      </w:pPr>
      <w:r w:rsidRPr="00AE2240">
        <w:rPr>
          <w:rFonts w:ascii="Arial" w:hAnsi="Arial" w:cs="Arial"/>
          <w:sz w:val="20"/>
          <w:szCs w:val="20"/>
        </w:rPr>
        <w:t xml:space="preserve">Constitutional Symptoms - </w:t>
      </w:r>
      <w:r w:rsidRPr="00FC7AEF">
        <w:rPr>
          <w:rFonts w:ascii="Arial" w:hAnsi="Arial" w:cs="Arial"/>
          <w:b/>
          <w:sz w:val="20"/>
          <w:szCs w:val="20"/>
        </w:rPr>
        <w:t>Rigors/chills</w:t>
      </w:r>
      <w:r w:rsidRPr="00AE2240">
        <w:rPr>
          <w:rFonts w:ascii="Arial" w:hAnsi="Arial" w:cs="Arial"/>
          <w:sz w:val="20"/>
          <w:szCs w:val="20"/>
        </w:rPr>
        <w:t xml:space="preserve"> - Grade 2 - states '</w:t>
      </w:r>
      <w:proofErr w:type="spellStart"/>
      <w:r w:rsidRPr="00AE2240">
        <w:rPr>
          <w:rFonts w:ascii="Arial" w:hAnsi="Arial" w:cs="Arial"/>
          <w:sz w:val="20"/>
          <w:szCs w:val="20"/>
        </w:rPr>
        <w:t>incidated</w:t>
      </w:r>
      <w:proofErr w:type="spellEnd"/>
      <w:r w:rsidRPr="00AE2240">
        <w:rPr>
          <w:rFonts w:ascii="Arial" w:hAnsi="Arial" w:cs="Arial"/>
          <w:sz w:val="20"/>
          <w:szCs w:val="20"/>
        </w:rPr>
        <w:t>', should this state 'indicated'?</w:t>
      </w:r>
    </w:p>
    <w:p w:rsidR="00752592" w:rsidRDefault="00752592" w:rsidP="00752592">
      <w:pPr>
        <w:pBdr>
          <w:bottom w:val="single" w:sz="6" w:space="1" w:color="auto"/>
        </w:pBdr>
        <w:autoSpaceDE w:val="0"/>
        <w:autoSpaceDN w:val="0"/>
        <w:adjustRightInd w:val="0"/>
        <w:rPr>
          <w:rFonts w:ascii="Arial" w:hAnsi="Arial" w:cs="Arial"/>
          <w:sz w:val="20"/>
          <w:szCs w:val="20"/>
        </w:rPr>
      </w:pPr>
      <w:r>
        <w:rPr>
          <w:rFonts w:ascii="Arial" w:hAnsi="Arial" w:cs="Arial"/>
          <w:sz w:val="20"/>
          <w:szCs w:val="20"/>
        </w:rPr>
        <w:t xml:space="preserve">CTEP Response: </w:t>
      </w:r>
      <w:r w:rsidRPr="00AE2240">
        <w:rPr>
          <w:rFonts w:ascii="Arial" w:hAnsi="Arial" w:cs="Arial"/>
          <w:sz w:val="20"/>
          <w:szCs w:val="20"/>
        </w:rPr>
        <w:t xml:space="preserve"> YES THE WORD IS A TYPO AND SHOULD BE INDICATED. </w:t>
      </w:r>
    </w:p>
    <w:p w:rsidR="00752592" w:rsidRDefault="00752592" w:rsidP="00752592">
      <w:pPr>
        <w:autoSpaceDE w:val="0"/>
        <w:autoSpaceDN w:val="0"/>
        <w:adjustRightInd w:val="0"/>
        <w:rPr>
          <w:rFonts w:ascii="Arial" w:hAnsi="Arial" w:cs="Arial"/>
          <w:sz w:val="20"/>
          <w:szCs w:val="20"/>
        </w:rPr>
      </w:pPr>
    </w:p>
    <w:p w:rsidR="00752592" w:rsidRDefault="00752592" w:rsidP="00752592">
      <w:r>
        <w:rPr>
          <w:rFonts w:ascii="Arial" w:hAnsi="Arial" w:cs="Arial"/>
          <w:sz w:val="20"/>
          <w:szCs w:val="20"/>
        </w:rPr>
        <w:t>Thank you for looking into this issue for us.  I have appended the information from the CTEP link.   We are interested in getting additional guidance on CTCAE terms 'death' and 'sudden death' , beyond that what is provided below in order to better guide our clinical sites on the selection criteria around the use of these terms ( </w:t>
      </w:r>
      <w:proofErr w:type="spellStart"/>
      <w:r>
        <w:rPr>
          <w:rFonts w:ascii="Arial" w:hAnsi="Arial" w:cs="Arial"/>
          <w:sz w:val="20"/>
          <w:szCs w:val="20"/>
        </w:rPr>
        <w:t>ie</w:t>
      </w:r>
      <w:proofErr w:type="spellEnd"/>
      <w:r>
        <w:rPr>
          <w:rFonts w:ascii="Arial" w:hAnsi="Arial" w:cs="Arial"/>
          <w:sz w:val="20"/>
          <w:szCs w:val="20"/>
        </w:rPr>
        <w:t xml:space="preserve"> use in the setting of normal ADL, seen within an hour of death,  (yes/no) cardiac or respiratory risk factors etc.). </w:t>
      </w:r>
    </w:p>
    <w:p w:rsidR="00752592" w:rsidRDefault="00752592" w:rsidP="00752592">
      <w:r>
        <w:t> </w:t>
      </w:r>
    </w:p>
    <w:p w:rsidR="00752592" w:rsidRDefault="00752592" w:rsidP="00752592">
      <w:pPr>
        <w:rPr>
          <w:rFonts w:ascii="Arial" w:hAnsi="Arial" w:cs="Arial"/>
          <w:sz w:val="20"/>
          <w:szCs w:val="20"/>
        </w:rPr>
      </w:pPr>
      <w:r>
        <w:rPr>
          <w:rFonts w:ascii="Arial" w:hAnsi="Arial" w:cs="Arial"/>
          <w:sz w:val="20"/>
          <w:szCs w:val="20"/>
        </w:rPr>
        <w:t xml:space="preserve">Sites recently have started to use the term 'DEATH'  in circumstances when a subject dies at home or in a hospice setting, when no autopsy is done, and the only known information is provided in an obituary column.  Sites are calling these 'unexplained death or unattended death' which codes to death in </w:t>
      </w:r>
      <w:proofErr w:type="spellStart"/>
      <w:r>
        <w:rPr>
          <w:rFonts w:ascii="Arial" w:hAnsi="Arial" w:cs="Arial"/>
          <w:sz w:val="20"/>
          <w:szCs w:val="20"/>
        </w:rPr>
        <w:t>MedDRA</w:t>
      </w:r>
      <w:proofErr w:type="spellEnd"/>
      <w:r>
        <w:rPr>
          <w:rFonts w:ascii="Arial" w:hAnsi="Arial" w:cs="Arial"/>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5"/>
        <w:gridCol w:w="1723"/>
        <w:gridCol w:w="2007"/>
        <w:gridCol w:w="2590"/>
        <w:gridCol w:w="584"/>
        <w:gridCol w:w="972"/>
      </w:tblGrid>
      <w:tr w:rsidR="00752592" w:rsidTr="00834A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Lower Level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Preferred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High Level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High Level Group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SOC</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Primary</w:t>
            </w:r>
          </w:p>
        </w:tc>
      </w:tr>
      <w:tr w:rsidR="00752592" w:rsidTr="00834A3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Death and sudden 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Fatal outcomes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proofErr w:type="spellStart"/>
            <w:r>
              <w:rPr>
                <w:sz w:val="20"/>
                <w:szCs w:val="20"/>
              </w:rPr>
              <w:t>Genrl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Y</w:t>
            </w:r>
          </w:p>
        </w:tc>
      </w:tr>
    </w:tbl>
    <w:p w:rsidR="00752592" w:rsidRDefault="00752592" w:rsidP="00752592">
      <w:pPr>
        <w:rPr>
          <w:rFonts w:eastAsiaTheme="minorHAnsi"/>
        </w:rPr>
      </w:pPr>
      <w:r>
        <w:t> </w:t>
      </w:r>
    </w:p>
    <w:p w:rsidR="00752592" w:rsidRDefault="00752592" w:rsidP="00752592">
      <w:r>
        <w:rPr>
          <w:rFonts w:ascii="Arial" w:hAnsi="Arial" w:cs="Arial"/>
          <w:sz w:val="20"/>
          <w:szCs w:val="20"/>
        </w:rPr>
        <w:t xml:space="preserve">In the past these deaths would be called out as disease progression (underlying malignancy grade 5) as often the subject had been on treatment for a period of time, may have been withdrawn from treatment because of radiographic confirmed disease progression or the investigator had no other known reason to select . If the subject was losing weight, had fatigue, loss of appetite etc the site may select the AE term </w:t>
      </w:r>
      <w:proofErr w:type="spellStart"/>
      <w:r>
        <w:rPr>
          <w:rFonts w:ascii="Arial" w:hAnsi="Arial" w:cs="Arial"/>
          <w:sz w:val="20"/>
          <w:szCs w:val="20"/>
        </w:rPr>
        <w:t>cachexia</w:t>
      </w:r>
      <w:proofErr w:type="spellEnd"/>
      <w:r>
        <w:rPr>
          <w:rFonts w:ascii="Arial" w:hAnsi="Arial" w:cs="Arial"/>
          <w:sz w:val="20"/>
          <w:szCs w:val="20"/>
        </w:rPr>
        <w:t xml:space="preserve"> grade 5.</w:t>
      </w:r>
    </w:p>
    <w:p w:rsidR="00752592" w:rsidRDefault="00752592" w:rsidP="00752592">
      <w:r>
        <w:t> </w:t>
      </w:r>
    </w:p>
    <w:p w:rsidR="00752592" w:rsidRDefault="00752592" w:rsidP="00752592">
      <w:r>
        <w:rPr>
          <w:rFonts w:ascii="Arial" w:hAnsi="Arial" w:cs="Arial"/>
          <w:sz w:val="20"/>
          <w:szCs w:val="20"/>
        </w:rPr>
        <w:t xml:space="preserve">It was rare to have AEs of 'SUDDEN DEATH' reported , however, recently, sites are using the term 'sudden death' for those cases similar to those described above, primarily because the death was unattended or </w:t>
      </w:r>
      <w:proofErr w:type="spellStart"/>
      <w:r>
        <w:rPr>
          <w:rFonts w:ascii="Arial" w:hAnsi="Arial" w:cs="Arial"/>
          <w:sz w:val="20"/>
          <w:szCs w:val="20"/>
        </w:rPr>
        <w:t>unwitnessed</w:t>
      </w:r>
      <w:proofErr w:type="spellEnd"/>
      <w:r>
        <w:rPr>
          <w:rFonts w:ascii="Arial" w:hAnsi="Arial" w:cs="Arial"/>
          <w:sz w:val="20"/>
          <w:szCs w:val="20"/>
        </w:rPr>
        <w:t xml:space="preserve">.  Sometimes the sites also select the AE terms grade </w:t>
      </w:r>
      <w:proofErr w:type="gramStart"/>
      <w:r>
        <w:rPr>
          <w:rFonts w:ascii="Arial" w:hAnsi="Arial" w:cs="Arial"/>
          <w:sz w:val="20"/>
          <w:szCs w:val="20"/>
        </w:rPr>
        <w:t>5 cardiac arrest,</w:t>
      </w:r>
      <w:proofErr w:type="gramEnd"/>
      <w:r>
        <w:rPr>
          <w:rFonts w:ascii="Arial" w:hAnsi="Arial" w:cs="Arial"/>
          <w:sz w:val="20"/>
          <w:szCs w:val="20"/>
        </w:rPr>
        <w:t xml:space="preserve"> or cardiopulmonary arrest.  Perhaps you could also provide CTCAE guidance on when to use these terms of cardiac arrest </w:t>
      </w:r>
      <w:proofErr w:type="spellStart"/>
      <w:r>
        <w:rPr>
          <w:rFonts w:ascii="Arial" w:hAnsi="Arial" w:cs="Arial"/>
          <w:sz w:val="20"/>
          <w:szCs w:val="20"/>
        </w:rPr>
        <w:t>vs</w:t>
      </w:r>
      <w:proofErr w:type="spellEnd"/>
      <w:r>
        <w:rPr>
          <w:rFonts w:ascii="Arial" w:hAnsi="Arial" w:cs="Arial"/>
          <w:sz w:val="20"/>
          <w:szCs w:val="20"/>
        </w:rPr>
        <w:t xml:space="preserve"> sudden death.   Please note that sudden death codes under the secondary SOC of cardiac disorders under the HLT of ventricular arrhythmias and cardiac arrest in </w:t>
      </w:r>
      <w:proofErr w:type="spellStart"/>
      <w:r>
        <w:rPr>
          <w:rFonts w:ascii="Arial" w:hAnsi="Arial" w:cs="Arial"/>
          <w:sz w:val="20"/>
          <w:szCs w:val="20"/>
        </w:rPr>
        <w:t>MedDRA</w:t>
      </w:r>
      <w:proofErr w:type="spellEnd"/>
      <w:r>
        <w:rPr>
          <w:rFonts w:ascii="Arial" w:hAnsi="Arial" w:cs="Arial"/>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5"/>
        <w:gridCol w:w="1723"/>
        <w:gridCol w:w="3467"/>
        <w:gridCol w:w="2590"/>
        <w:gridCol w:w="584"/>
        <w:gridCol w:w="972"/>
      </w:tblGrid>
      <w:tr w:rsidR="00752592" w:rsidTr="00834A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lastRenderedPageBreak/>
              <w:t>Lower Level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Preferred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High Level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High Level Group Term</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SOC</w:t>
            </w:r>
          </w:p>
        </w:tc>
        <w:tc>
          <w:tcPr>
            <w:tcW w:w="0" w:type="auto"/>
            <w:tcBorders>
              <w:top w:val="outset" w:sz="6" w:space="0" w:color="auto"/>
              <w:left w:val="outset" w:sz="6" w:space="0" w:color="auto"/>
              <w:bottom w:val="outset" w:sz="6" w:space="0" w:color="auto"/>
              <w:right w:val="outset" w:sz="6" w:space="0" w:color="auto"/>
            </w:tcBorders>
            <w:shd w:val="clear" w:color="auto" w:fill="DDFFDD"/>
            <w:tcMar>
              <w:top w:w="15" w:type="dxa"/>
              <w:left w:w="15" w:type="dxa"/>
              <w:bottom w:w="15" w:type="dxa"/>
              <w:right w:w="15" w:type="dxa"/>
            </w:tcMar>
            <w:vAlign w:val="center"/>
            <w:hideMark/>
          </w:tcPr>
          <w:p w:rsidR="00752592" w:rsidRDefault="00752592" w:rsidP="00834A39">
            <w:pPr>
              <w:jc w:val="center"/>
              <w:rPr>
                <w:rFonts w:eastAsiaTheme="minorHAnsi"/>
                <w:b/>
                <w:bCs/>
              </w:rPr>
            </w:pPr>
            <w:r>
              <w:rPr>
                <w:b/>
                <w:bCs/>
              </w:rPr>
              <w:t>Primary</w:t>
            </w:r>
          </w:p>
        </w:tc>
      </w:tr>
      <w:tr w:rsidR="00752592" w:rsidTr="00834A3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Sudden 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Sudden 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Death and sudden 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Fatal outcomes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proofErr w:type="spellStart"/>
            <w:r>
              <w:rPr>
                <w:sz w:val="20"/>
                <w:szCs w:val="20"/>
              </w:rPr>
              <w:t>Genrl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Y</w:t>
            </w:r>
          </w:p>
        </w:tc>
      </w:tr>
      <w:tr w:rsidR="00752592" w:rsidTr="00834A3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Sudden 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Sudden death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Ventricular arrhythmias and cardiac arrest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Cardiac arrhythmias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Card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52592" w:rsidRDefault="00752592" w:rsidP="00834A39">
            <w:pPr>
              <w:rPr>
                <w:rFonts w:eastAsiaTheme="minorHAnsi"/>
              </w:rPr>
            </w:pPr>
            <w:r>
              <w:rPr>
                <w:sz w:val="20"/>
                <w:szCs w:val="20"/>
              </w:rPr>
              <w:t>N</w:t>
            </w:r>
          </w:p>
        </w:tc>
      </w:tr>
    </w:tbl>
    <w:p w:rsidR="00752592" w:rsidRDefault="00752592" w:rsidP="00752592">
      <w:pPr>
        <w:rPr>
          <w:rFonts w:eastAsiaTheme="minorHAnsi"/>
        </w:rPr>
      </w:pPr>
      <w:r>
        <w:t> </w:t>
      </w:r>
    </w:p>
    <w:p w:rsidR="00752592" w:rsidRDefault="00752592" w:rsidP="00752592">
      <w:pPr>
        <w:pBdr>
          <w:bottom w:val="single" w:sz="6" w:space="1" w:color="auto"/>
        </w:pBdr>
      </w:pPr>
      <w:r>
        <w:t> </w:t>
      </w:r>
    </w:p>
    <w:p w:rsidR="00752592" w:rsidRDefault="00752592" w:rsidP="00752592">
      <w:pPr>
        <w:autoSpaceDE w:val="0"/>
        <w:autoSpaceDN w:val="0"/>
        <w:adjustRightInd w:val="0"/>
        <w:rPr>
          <w:rFonts w:ascii="Arial" w:hAnsi="Arial" w:cs="Arial"/>
          <w:sz w:val="20"/>
          <w:szCs w:val="20"/>
        </w:rPr>
      </w:pPr>
      <w:r>
        <w:rPr>
          <w:rFonts w:ascii="Arial" w:hAnsi="Arial" w:cs="Arial"/>
          <w:sz w:val="20"/>
          <w:szCs w:val="20"/>
        </w:rPr>
        <w:t>Suggestions for addition in CTCAE v4.0:</w:t>
      </w:r>
    </w:p>
    <w:p w:rsidR="00752592" w:rsidRDefault="00752592" w:rsidP="00752592">
      <w:pPr>
        <w:pStyle w:val="ListParagraph"/>
        <w:numPr>
          <w:ilvl w:val="0"/>
          <w:numId w:val="3"/>
        </w:numPr>
        <w:autoSpaceDE w:val="0"/>
        <w:autoSpaceDN w:val="0"/>
        <w:adjustRightInd w:val="0"/>
        <w:rPr>
          <w:rFonts w:ascii="Arial" w:hAnsi="Arial" w:cs="Arial"/>
          <w:sz w:val="20"/>
          <w:szCs w:val="20"/>
        </w:rPr>
      </w:pPr>
      <w:proofErr w:type="spellStart"/>
      <w:r>
        <w:rPr>
          <w:rFonts w:ascii="Arial" w:hAnsi="Arial" w:cs="Arial"/>
          <w:sz w:val="20"/>
          <w:szCs w:val="20"/>
        </w:rPr>
        <w:t>MedDRA</w:t>
      </w:r>
      <w:proofErr w:type="spellEnd"/>
      <w:r>
        <w:rPr>
          <w:rFonts w:ascii="Arial" w:hAnsi="Arial" w:cs="Arial"/>
          <w:sz w:val="20"/>
          <w:szCs w:val="20"/>
        </w:rPr>
        <w:t xml:space="preserve"> LLT &amp; PT </w:t>
      </w:r>
      <w:r w:rsidRPr="00B83932">
        <w:rPr>
          <w:rFonts w:ascii="Arial" w:hAnsi="Arial" w:cs="Arial"/>
          <w:sz w:val="20"/>
          <w:szCs w:val="20"/>
        </w:rPr>
        <w:t>Temperature intolerance</w:t>
      </w:r>
    </w:p>
    <w:p w:rsidR="00752592" w:rsidRPr="00B83932" w:rsidRDefault="00752592" w:rsidP="00752592">
      <w:pPr>
        <w:pStyle w:val="ListParagraph"/>
        <w:numPr>
          <w:ilvl w:val="0"/>
          <w:numId w:val="3"/>
        </w:numPr>
        <w:autoSpaceDE w:val="0"/>
        <w:autoSpaceDN w:val="0"/>
        <w:adjustRightInd w:val="0"/>
        <w:rPr>
          <w:rFonts w:ascii="Arial" w:hAnsi="Arial" w:cs="Arial"/>
          <w:sz w:val="20"/>
          <w:szCs w:val="20"/>
        </w:rPr>
      </w:pPr>
      <w:proofErr w:type="spellStart"/>
      <w:r>
        <w:rPr>
          <w:rFonts w:ascii="Arial" w:hAnsi="Arial" w:cs="Arial"/>
          <w:sz w:val="20"/>
          <w:szCs w:val="20"/>
        </w:rPr>
        <w:t>MedDRA</w:t>
      </w:r>
      <w:proofErr w:type="spellEnd"/>
      <w:r>
        <w:rPr>
          <w:rFonts w:ascii="Arial" w:hAnsi="Arial" w:cs="Arial"/>
          <w:sz w:val="20"/>
          <w:szCs w:val="20"/>
        </w:rPr>
        <w:t xml:space="preserve"> LLT &amp; PT </w:t>
      </w:r>
      <w:proofErr w:type="spellStart"/>
      <w:r w:rsidRPr="00C85B39">
        <w:rPr>
          <w:rFonts w:ascii="Arial" w:hAnsi="Arial" w:cs="Arial"/>
          <w:sz w:val="20"/>
          <w:szCs w:val="20"/>
        </w:rPr>
        <w:t>Extravasation</w:t>
      </w:r>
      <w:proofErr w:type="spellEnd"/>
      <w:r>
        <w:rPr>
          <w:rFonts w:ascii="Arial" w:hAnsi="Arial" w:cs="Arial"/>
          <w:sz w:val="20"/>
          <w:szCs w:val="20"/>
        </w:rPr>
        <w:t xml:space="preserve"> </w:t>
      </w:r>
    </w:p>
    <w:p w:rsidR="00752592" w:rsidRPr="00AF41CE" w:rsidRDefault="00752592" w:rsidP="00752592">
      <w:pPr>
        <w:rPr>
          <w:rFonts w:ascii="Arial" w:hAnsi="Arial" w:cs="Arial"/>
          <w:sz w:val="20"/>
          <w:szCs w:val="20"/>
        </w:rPr>
      </w:pPr>
    </w:p>
    <w:p w:rsidR="00752592" w:rsidRPr="00752592" w:rsidRDefault="00752592" w:rsidP="00752592">
      <w:pPr>
        <w:autoSpaceDE w:val="0"/>
        <w:autoSpaceDN w:val="0"/>
        <w:adjustRightInd w:val="0"/>
        <w:ind w:left="1080"/>
        <w:rPr>
          <w:rFonts w:ascii="Arial" w:hAnsi="Arial" w:cs="Arial"/>
          <w:sz w:val="20"/>
          <w:szCs w:val="20"/>
        </w:rPr>
      </w:pPr>
    </w:p>
    <w:p w:rsidR="0002014E" w:rsidRPr="00494B91" w:rsidRDefault="0002014E">
      <w:pPr>
        <w:autoSpaceDE w:val="0"/>
        <w:autoSpaceDN w:val="0"/>
        <w:adjustRightInd w:val="0"/>
        <w:rPr>
          <w:rFonts w:ascii="Arial" w:hAnsi="Arial" w:cs="Arial"/>
          <w:sz w:val="20"/>
          <w:szCs w:val="20"/>
        </w:rPr>
      </w:pPr>
    </w:p>
    <w:p w:rsidR="0002014E" w:rsidRPr="00494B91" w:rsidRDefault="0002014E">
      <w:pPr>
        <w:autoSpaceDE w:val="0"/>
        <w:autoSpaceDN w:val="0"/>
        <w:adjustRightInd w:val="0"/>
        <w:rPr>
          <w:rFonts w:ascii="Arial" w:hAnsi="Arial" w:cs="Arial"/>
          <w:sz w:val="20"/>
          <w:szCs w:val="20"/>
        </w:rPr>
      </w:pPr>
    </w:p>
    <w:p w:rsidR="0002014E" w:rsidRPr="00494B91" w:rsidRDefault="0002014E">
      <w:pPr>
        <w:autoSpaceDE w:val="0"/>
        <w:autoSpaceDN w:val="0"/>
        <w:adjustRightInd w:val="0"/>
        <w:rPr>
          <w:rFonts w:ascii="Arial" w:hAnsi="Arial" w:cs="Arial"/>
          <w:sz w:val="20"/>
          <w:szCs w:val="20"/>
        </w:rPr>
      </w:pPr>
    </w:p>
    <w:p w:rsidR="0002014E" w:rsidRPr="00494B91" w:rsidRDefault="0002014E">
      <w:pPr>
        <w:autoSpaceDE w:val="0"/>
        <w:autoSpaceDN w:val="0"/>
        <w:adjustRightInd w:val="0"/>
        <w:rPr>
          <w:rFonts w:ascii="Arial" w:hAnsi="Arial" w:cs="Arial"/>
          <w:sz w:val="20"/>
          <w:szCs w:val="20"/>
        </w:rPr>
      </w:pPr>
    </w:p>
    <w:sectPr w:rsidR="0002014E" w:rsidRPr="00494B91" w:rsidSect="005557C7">
      <w:pgSz w:w="12240" w:h="15840"/>
      <w:pgMar w:top="720" w:right="432" w:bottom="720" w:left="43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5324A3"/>
    <w:multiLevelType w:val="hybridMultilevel"/>
    <w:tmpl w:val="3DAE8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94FA5"/>
    <w:multiLevelType w:val="hybridMultilevel"/>
    <w:tmpl w:val="ACC44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B956D3"/>
    <w:multiLevelType w:val="hybridMultilevel"/>
    <w:tmpl w:val="6A62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AE2240"/>
    <w:rsid w:val="0002014E"/>
    <w:rsid w:val="0031231C"/>
    <w:rsid w:val="00494B91"/>
    <w:rsid w:val="00507875"/>
    <w:rsid w:val="005557C7"/>
    <w:rsid w:val="00677BB0"/>
    <w:rsid w:val="0072454A"/>
    <w:rsid w:val="00752592"/>
    <w:rsid w:val="00AA1CD3"/>
    <w:rsid w:val="00AE2240"/>
    <w:rsid w:val="00C535B1"/>
    <w:rsid w:val="00C71A47"/>
    <w:rsid w:val="00CC3595"/>
    <w:rsid w:val="00CD6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C7"/>
    <w:rPr>
      <w:sz w:val="24"/>
      <w:szCs w:val="24"/>
    </w:rPr>
  </w:style>
  <w:style w:type="paragraph" w:styleId="Heading1">
    <w:name w:val="heading 1"/>
    <w:basedOn w:val="Normal"/>
    <w:next w:val="Normal"/>
    <w:qFormat/>
    <w:rsid w:val="005557C7"/>
    <w:pPr>
      <w:keepNext/>
      <w:autoSpaceDE w:val="0"/>
      <w:autoSpaceDN w:val="0"/>
      <w:adjustRightInd w:val="0"/>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017 through 028 / RE: CMS &amp; FAQ -  RE: Ticket #38637    Priority:3     RE: CTCAE v 3</vt:lpstr>
    </vt:vector>
  </TitlesOfParts>
  <Company>CTIS, Inc.</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 through 028 / RE: CMS &amp; FAQ -  RE: Ticket #38637    Priority:3     RE: CTCAE v 3</dc:title>
  <dc:subject/>
  <dc:creator>JMCNULTY</dc:creator>
  <cp:keywords/>
  <dc:description/>
  <cp:lastModifiedBy> </cp:lastModifiedBy>
  <cp:revision>3</cp:revision>
  <dcterms:created xsi:type="dcterms:W3CDTF">2008-11-04T15:49:00Z</dcterms:created>
  <dcterms:modified xsi:type="dcterms:W3CDTF">2008-11-04T15:49:00Z</dcterms:modified>
</cp:coreProperties>
</file>