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9FBC" w14:textId="711B7BE8" w:rsidR="00800DA2" w:rsidRPr="00137B59" w:rsidRDefault="00137B59" w:rsidP="00137B59">
      <w:pPr>
        <w:spacing w:after="150" w:line="234" w:lineRule="atLeast"/>
        <w:jc w:val="center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BLACKPOOL MUSIC SCHOOL</w:t>
      </w:r>
    </w:p>
    <w:p w14:paraId="778EC1F1" w14:textId="1788A49A" w:rsidR="00800DA2" w:rsidRPr="00137B59" w:rsidRDefault="00137B59" w:rsidP="00137B59">
      <w:pPr>
        <w:spacing w:after="150" w:line="234" w:lineRule="atLeast"/>
        <w:jc w:val="center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March 2024</w:t>
      </w:r>
    </w:p>
    <w:p w14:paraId="3AB321CD" w14:textId="77777777" w:rsidR="00800DA2" w:rsidRPr="00137B59" w:rsidRDefault="00800DA2" w:rsidP="00137B59">
      <w:pPr>
        <w:pBdr>
          <w:bottom w:val="single" w:sz="12" w:space="1" w:color="auto"/>
        </w:pBdr>
        <w:spacing w:after="150" w:line="234" w:lineRule="atLeast"/>
        <w:jc w:val="center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</w:p>
    <w:p w14:paraId="05249B01" w14:textId="77777777" w:rsidR="00800DA2" w:rsidRPr="00137B59" w:rsidRDefault="00800DA2" w:rsidP="00137B59">
      <w:pPr>
        <w:pBdr>
          <w:bottom w:val="single" w:sz="12" w:space="1" w:color="auto"/>
        </w:pBdr>
        <w:spacing w:after="150" w:line="234" w:lineRule="atLeast"/>
        <w:jc w:val="center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TELEPHONE USAGE POLICY</w:t>
      </w:r>
    </w:p>
    <w:p w14:paraId="685B2D8F" w14:textId="77777777" w:rsidR="00800DA2" w:rsidRPr="00137B59" w:rsidRDefault="00800DA2" w:rsidP="00137B59">
      <w:pPr>
        <w:spacing w:after="15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</w:p>
    <w:p w14:paraId="0CEFA9A2" w14:textId="77777777" w:rsidR="00800DA2" w:rsidRPr="00137B59" w:rsidRDefault="00800DA2" w:rsidP="00137B59">
      <w:pPr>
        <w:spacing w:after="15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</w:p>
    <w:p w14:paraId="614B67CB" w14:textId="77777777" w:rsidR="00800DA2" w:rsidRPr="00137B59" w:rsidRDefault="00800DA2" w:rsidP="00137B59">
      <w:pPr>
        <w:spacing w:after="15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Overview/Policy Statement</w:t>
      </w:r>
    </w:p>
    <w:p w14:paraId="24D9BC93" w14:textId="7E2AA66B" w:rsidR="00800DA2" w:rsidRPr="00137B59" w:rsidRDefault="00800DA2" w:rsidP="00137B59">
      <w:pPr>
        <w:spacing w:after="15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br/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Personal use of the Charity's telephone for long-distance and 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>other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calls is permitted only with the permission of the management in exceptional circumstances. Personal calls must be kept at a minimum, whether made on a 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>charity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phone or personal cell phone.</w:t>
      </w:r>
    </w:p>
    <w:p w14:paraId="50242779" w14:textId="5542A76C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Manager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s, </w:t>
      </w:r>
      <w:r w:rsidR="00137B59">
        <w:rPr>
          <w:rFonts w:ascii="Avenir Next LT Pro" w:eastAsia="Times New Roman" w:hAnsi="Avenir Next LT Pro" w:cs="Arial"/>
          <w:color w:val="000000"/>
          <w:lang w:eastAsia="en-GB"/>
        </w:rPr>
        <w:t xml:space="preserve">trustees, 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>employees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&amp; volunteers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are responsible for adherence to c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>harity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policy. Failure to do so may result in disciplinary action up to and including termination.</w:t>
      </w:r>
    </w:p>
    <w:p w14:paraId="160B1F28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 </w:t>
      </w:r>
    </w:p>
    <w:p w14:paraId="43B6FEF9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Rationale</w:t>
      </w:r>
    </w:p>
    <w:p w14:paraId="5E606E32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</w:p>
    <w:p w14:paraId="347068E7" w14:textId="6D63E7CD" w:rsidR="00800DA2" w:rsidRPr="00137B59" w:rsidRDefault="00800DA2" w:rsidP="00137B59">
      <w:pPr>
        <w:numPr>
          <w:ilvl w:val="0"/>
          <w:numId w:val="1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The Charity can incur substantial expenses relative to its telephone system, which has been installed and is maintained solely for the purpose of making and receiving telephone calls related to 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>the charity’s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business including calls abroad</w:t>
      </w:r>
      <w:r w:rsidR="008112A0"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(if any)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by designated officers within the organisation.</w:t>
      </w:r>
    </w:p>
    <w:p w14:paraId="57753F9B" w14:textId="77777777" w:rsidR="00800DA2" w:rsidRPr="00137B59" w:rsidRDefault="00800DA2" w:rsidP="00137B59">
      <w:pPr>
        <w:numPr>
          <w:ilvl w:val="0"/>
          <w:numId w:val="1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Individuals who spend excessive amounts of time on personal telephone calls cannot effectively fulfil the duties of their jobs and may be disruptive to their colleagues. </w:t>
      </w:r>
    </w:p>
    <w:p w14:paraId="48160768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Eligibility/Scope</w:t>
      </w:r>
    </w:p>
    <w:p w14:paraId="1027026B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b/>
          <w:bCs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br/>
        <w:t>This policy applies to all employees, volunteers and trustees of the charity. 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br/>
        <w:t> 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br/>
      </w:r>
      <w:r w:rsidRPr="00137B59">
        <w:rPr>
          <w:rFonts w:ascii="Avenir Next LT Pro" w:eastAsia="Times New Roman" w:hAnsi="Avenir Next LT Pro" w:cs="Arial"/>
          <w:b/>
          <w:bCs/>
          <w:color w:val="000000"/>
          <w:lang w:eastAsia="en-GB"/>
        </w:rPr>
        <w:t>Applying the Policy</w:t>
      </w:r>
    </w:p>
    <w:p w14:paraId="439469FC" w14:textId="77777777" w:rsidR="00800DA2" w:rsidRPr="00137B59" w:rsidRDefault="00800DA2" w:rsidP="00137B59">
      <w:pPr>
        <w:spacing w:after="0" w:line="234" w:lineRule="atLeast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</w:p>
    <w:p w14:paraId="2FB2BB58" w14:textId="77777777" w:rsidR="00800DA2" w:rsidRPr="00137B59" w:rsidRDefault="00800DA2" w:rsidP="00137B59">
      <w:pPr>
        <w:numPr>
          <w:ilvl w:val="0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Abuse of this policy will be treated like other performance problems.</w:t>
      </w:r>
    </w:p>
    <w:p w14:paraId="76C9EDCA" w14:textId="77777777" w:rsidR="00800DA2" w:rsidRPr="00137B59" w:rsidRDefault="00800DA2" w:rsidP="00137B59">
      <w:pPr>
        <w:numPr>
          <w:ilvl w:val="0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Although some personal telephone calls are necessary, these should be kept as brief as possible.</w:t>
      </w:r>
    </w:p>
    <w:p w14:paraId="3BB461E2" w14:textId="77777777" w:rsidR="00800DA2" w:rsidRPr="00137B59" w:rsidRDefault="00800DA2" w:rsidP="00137B59">
      <w:pPr>
        <w:numPr>
          <w:ilvl w:val="0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Recognising that employees who live outside of the local calling area may have occasional need to place long-distance calls, advance management approval is required. Reimbursement to the Charity for long-distance calls may be required.</w:t>
      </w:r>
    </w:p>
    <w:p w14:paraId="121BEC8D" w14:textId="77777777" w:rsidR="00800DA2" w:rsidRPr="00137B59" w:rsidRDefault="00800DA2" w:rsidP="00137B59">
      <w:pPr>
        <w:numPr>
          <w:ilvl w:val="0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Individuals may not use cameras, including those on personal cell phones, to take unauthorised photographs of any of the work of the Charity.</w:t>
      </w:r>
    </w:p>
    <w:p w14:paraId="544EA1B5" w14:textId="77777777" w:rsidR="00800DA2" w:rsidRPr="00137B59" w:rsidRDefault="00800DA2" w:rsidP="00137B59">
      <w:pPr>
        <w:numPr>
          <w:ilvl w:val="0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As business needs dictate, departments and locations may decide to expand this policy as follows around the use of mobile phones. Mobile phones must be:</w:t>
      </w:r>
    </w:p>
    <w:p w14:paraId="679E7757" w14:textId="77777777" w:rsidR="00800DA2" w:rsidRPr="00137B59" w:rsidRDefault="00800DA2" w:rsidP="00137B59">
      <w:pPr>
        <w:numPr>
          <w:ilvl w:val="1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Turned off in work locations or left on an inaudible setting.</w:t>
      </w:r>
    </w:p>
    <w:p w14:paraId="45553599" w14:textId="0BC85A10" w:rsidR="00800DA2" w:rsidRPr="00137B59" w:rsidRDefault="00800DA2" w:rsidP="00137B59">
      <w:pPr>
        <w:numPr>
          <w:ilvl w:val="1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lastRenderedPageBreak/>
        <w:t>Used away from co-workers in non-</w:t>
      </w:r>
      <w:r w:rsidR="00137B59" w:rsidRPr="00137B59">
        <w:rPr>
          <w:rFonts w:ascii="Avenir Next LT Pro" w:eastAsia="Times New Roman" w:hAnsi="Avenir Next LT Pro" w:cs="Arial"/>
          <w:color w:val="000000"/>
          <w:lang w:eastAsia="en-GB"/>
        </w:rPr>
        <w:t>work-related</w:t>
      </w:r>
      <w:r w:rsidRPr="00137B59">
        <w:rPr>
          <w:rFonts w:ascii="Avenir Next LT Pro" w:eastAsia="Times New Roman" w:hAnsi="Avenir Next LT Pro" w:cs="Arial"/>
          <w:color w:val="000000"/>
          <w:lang w:eastAsia="en-GB"/>
        </w:rPr>
        <w:t xml:space="preserve"> areas such as outside, in lobbies, empty conference rooms, halls and/or stairwells.</w:t>
      </w:r>
    </w:p>
    <w:p w14:paraId="70F6051F" w14:textId="77777777" w:rsidR="00800DA2" w:rsidRPr="00137B59" w:rsidRDefault="00800DA2" w:rsidP="00137B59">
      <w:pPr>
        <w:numPr>
          <w:ilvl w:val="1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Used before or after the department's work hours or on breaks, if applicable.</w:t>
      </w:r>
    </w:p>
    <w:p w14:paraId="292F6E99" w14:textId="77777777" w:rsidR="00800DA2" w:rsidRPr="00137B59" w:rsidRDefault="00800DA2" w:rsidP="00137B59">
      <w:pPr>
        <w:numPr>
          <w:ilvl w:val="1"/>
          <w:numId w:val="2"/>
        </w:numPr>
        <w:spacing w:after="120" w:line="234" w:lineRule="atLeast"/>
        <w:ind w:left="0"/>
        <w:jc w:val="both"/>
        <w:rPr>
          <w:rFonts w:ascii="Avenir Next LT Pro" w:eastAsia="Times New Roman" w:hAnsi="Avenir Next LT Pro" w:cs="Arial"/>
          <w:color w:val="000000"/>
          <w:lang w:eastAsia="en-GB"/>
        </w:rPr>
      </w:pPr>
      <w:r w:rsidRPr="00137B59">
        <w:rPr>
          <w:rFonts w:ascii="Avenir Next LT Pro" w:eastAsia="Times New Roman" w:hAnsi="Avenir Next LT Pro" w:cs="Arial"/>
          <w:color w:val="000000"/>
          <w:lang w:eastAsia="en-GB"/>
        </w:rPr>
        <w:t>Not used at all within any childcare environment</w:t>
      </w:r>
    </w:p>
    <w:p w14:paraId="1BB2B2A2" w14:textId="26ED3756" w:rsidR="00752BC1" w:rsidRPr="00137B59" w:rsidRDefault="00752BC1" w:rsidP="00137B59">
      <w:pPr>
        <w:jc w:val="both"/>
        <w:rPr>
          <w:rFonts w:ascii="Avenir Next LT Pro" w:hAnsi="Avenir Next LT Pro"/>
        </w:rPr>
      </w:pPr>
    </w:p>
    <w:p w14:paraId="1BD24D2B" w14:textId="791DADC7" w:rsidR="004A57C0" w:rsidRPr="00137B59" w:rsidRDefault="004A57C0" w:rsidP="00137B59">
      <w:pPr>
        <w:jc w:val="both"/>
        <w:rPr>
          <w:rFonts w:ascii="Avenir Next LT Pro" w:hAnsi="Avenir Next LT Pro" w:cs="Calibri"/>
        </w:rPr>
      </w:pPr>
      <w:r w:rsidRPr="00137B59">
        <w:rPr>
          <w:rFonts w:ascii="Avenir Next LT Pro" w:hAnsi="Avenir Next LT Pro" w:cs="Calibri"/>
        </w:rPr>
        <w:t>Signed:</w:t>
      </w:r>
      <w:r w:rsidRPr="00137B59">
        <w:rPr>
          <w:rFonts w:ascii="Avenir Next LT Pro" w:hAnsi="Avenir Next LT Pro" w:cs="Calibri"/>
        </w:rPr>
        <w:tab/>
      </w:r>
    </w:p>
    <w:p w14:paraId="6DE72CEE" w14:textId="78AE36FF" w:rsidR="004A57C0" w:rsidRPr="00137B59" w:rsidRDefault="004A57C0" w:rsidP="00137B59">
      <w:pPr>
        <w:jc w:val="both"/>
        <w:rPr>
          <w:rFonts w:ascii="Avenir Next LT Pro" w:hAnsi="Avenir Next LT Pro" w:cs="Calibri"/>
        </w:rPr>
      </w:pPr>
      <w:r w:rsidRPr="00137B59">
        <w:rPr>
          <w:rFonts w:ascii="Avenir Next LT Pro" w:hAnsi="Avenir Next LT Pro" w:cs="Calibri"/>
        </w:rPr>
        <w:tab/>
      </w:r>
      <w:r w:rsidR="00137B59">
        <w:rPr>
          <w:rFonts w:ascii="Avenir Next LT Pro" w:hAnsi="Avenir Next LT Pro" w:cs="Calibri"/>
        </w:rPr>
        <w:tab/>
      </w:r>
      <w:r w:rsidRPr="00137B59">
        <w:rPr>
          <w:rFonts w:ascii="Avenir Next LT Pro" w:hAnsi="Avenir Next LT Pro" w:cs="Calibri"/>
        </w:rPr>
        <w:t>Chairperson</w:t>
      </w:r>
    </w:p>
    <w:p w14:paraId="58B39D25" w14:textId="79059229" w:rsidR="004A57C0" w:rsidRPr="00137B59" w:rsidRDefault="004A57C0" w:rsidP="00137B59">
      <w:pPr>
        <w:jc w:val="both"/>
        <w:rPr>
          <w:rFonts w:ascii="Avenir Next LT Pro" w:hAnsi="Avenir Next LT Pro" w:cs="Arial"/>
        </w:rPr>
      </w:pPr>
      <w:r w:rsidRPr="00137B59">
        <w:rPr>
          <w:rFonts w:ascii="Avenir Next LT Pro" w:hAnsi="Avenir Next LT Pro" w:cs="Calibri"/>
        </w:rPr>
        <w:tab/>
      </w:r>
      <w:r w:rsidR="00137B59">
        <w:rPr>
          <w:rFonts w:ascii="Avenir Next LT Pro" w:hAnsi="Avenir Next LT Pro" w:cs="Calibri"/>
        </w:rPr>
        <w:tab/>
      </w:r>
      <w:r w:rsidR="00137B59" w:rsidRPr="00137B59">
        <w:rPr>
          <w:rFonts w:ascii="Avenir Next LT Pro" w:hAnsi="Avenir Next LT Pro" w:cs="Calibri"/>
        </w:rPr>
        <w:t>Blackpool Music School</w:t>
      </w:r>
      <w:r w:rsidRPr="00137B59">
        <w:rPr>
          <w:rFonts w:ascii="Avenir Next LT Pro" w:hAnsi="Avenir Next LT Pro" w:cs="Calibri"/>
        </w:rPr>
        <w:t xml:space="preserve">              Date:</w:t>
      </w:r>
      <w:r w:rsidRPr="00137B59">
        <w:rPr>
          <w:rFonts w:ascii="Avenir Next LT Pro" w:hAnsi="Avenir Next LT Pro" w:cs="Calibri"/>
        </w:rPr>
        <w:tab/>
      </w:r>
    </w:p>
    <w:p w14:paraId="7570AC9D" w14:textId="77777777" w:rsidR="004A57C0" w:rsidRPr="00137B59" w:rsidRDefault="004A57C0" w:rsidP="00137B59">
      <w:pPr>
        <w:jc w:val="both"/>
        <w:rPr>
          <w:rFonts w:ascii="Avenir Next LT Pro" w:hAnsi="Avenir Next LT Pro"/>
        </w:rPr>
      </w:pPr>
    </w:p>
    <w:sectPr w:rsidR="004A57C0" w:rsidRPr="00137B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9B9E" w14:textId="77777777" w:rsidR="00946EC2" w:rsidRDefault="00946EC2" w:rsidP="00137B59">
      <w:pPr>
        <w:spacing w:after="0" w:line="240" w:lineRule="auto"/>
      </w:pPr>
      <w:r>
        <w:separator/>
      </w:r>
    </w:p>
  </w:endnote>
  <w:endnote w:type="continuationSeparator" w:id="0">
    <w:p w14:paraId="0BE662E9" w14:textId="77777777" w:rsidR="00946EC2" w:rsidRDefault="00946EC2" w:rsidP="0013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1900" w14:textId="60A723B6" w:rsidR="00137B59" w:rsidRPr="00137B59" w:rsidRDefault="00137B59">
    <w:pPr>
      <w:pStyle w:val="Footer"/>
      <w:rPr>
        <w:rFonts w:ascii="Avenir Next LT Pro" w:hAnsi="Avenir Next LT Pro"/>
        <w:sz w:val="20"/>
        <w:szCs w:val="20"/>
      </w:rPr>
    </w:pPr>
    <w:r w:rsidRPr="00137B59">
      <w:rPr>
        <w:rFonts w:ascii="Avenir Next LT Pro" w:hAnsi="Avenir Next LT Pro"/>
        <w:sz w:val="20"/>
        <w:szCs w:val="20"/>
      </w:rPr>
      <w:t xml:space="preserve">Adopted March 2024                   </w:t>
    </w:r>
    <w:proofErr w:type="gramStart"/>
    <w:r w:rsidRPr="00137B59">
      <w:rPr>
        <w:rFonts w:ascii="Avenir Next LT Pro" w:hAnsi="Avenir Next LT Pro"/>
        <w:sz w:val="20"/>
        <w:szCs w:val="20"/>
      </w:rPr>
      <w:t>Reviewed  March</w:t>
    </w:r>
    <w:proofErr w:type="gramEnd"/>
    <w:r w:rsidRPr="00137B59">
      <w:rPr>
        <w:rFonts w:ascii="Avenir Next LT Pro" w:hAnsi="Avenir Next LT Pro"/>
        <w:sz w:val="20"/>
        <w:szCs w:val="20"/>
      </w:rPr>
      <w:t xml:space="preserve"> 2025                         Adopted ………………………..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6B18" w14:textId="77777777" w:rsidR="00946EC2" w:rsidRDefault="00946EC2" w:rsidP="00137B59">
      <w:pPr>
        <w:spacing w:after="0" w:line="240" w:lineRule="auto"/>
      </w:pPr>
      <w:r>
        <w:separator/>
      </w:r>
    </w:p>
  </w:footnote>
  <w:footnote w:type="continuationSeparator" w:id="0">
    <w:p w14:paraId="28EEA247" w14:textId="77777777" w:rsidR="00946EC2" w:rsidRDefault="00946EC2" w:rsidP="0013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4369" w14:textId="2118BDA5" w:rsidR="00137B59" w:rsidRDefault="00137B59" w:rsidP="00137B59">
    <w:pPr>
      <w:pStyle w:val="Header"/>
      <w:jc w:val="right"/>
    </w:pPr>
    <w:r>
      <w:rPr>
        <w:noProof/>
      </w:rPr>
      <w:drawing>
        <wp:inline distT="0" distB="0" distL="0" distR="0" wp14:anchorId="4D303330" wp14:editId="4D28A6E2">
          <wp:extent cx="1009402" cy="1009402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65" cy="101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95AE7B" w14:textId="77777777" w:rsidR="00137B59" w:rsidRDefault="00137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44FF"/>
    <w:multiLevelType w:val="multilevel"/>
    <w:tmpl w:val="6ED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050B2"/>
    <w:multiLevelType w:val="multilevel"/>
    <w:tmpl w:val="F3F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838305">
    <w:abstractNumId w:val="0"/>
  </w:num>
  <w:num w:numId="2" w16cid:durableId="6896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2"/>
    <w:rsid w:val="00137B59"/>
    <w:rsid w:val="004A57C0"/>
    <w:rsid w:val="00752BC1"/>
    <w:rsid w:val="00800DA2"/>
    <w:rsid w:val="008112A0"/>
    <w:rsid w:val="0094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726A"/>
  <w15:docId w15:val="{92D15164-AB8B-4931-A54E-9CC07160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0D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9"/>
  </w:style>
  <w:style w:type="paragraph" w:styleId="Footer">
    <w:name w:val="footer"/>
    <w:basedOn w:val="Normal"/>
    <w:link w:val="FooterChar"/>
    <w:uiPriority w:val="99"/>
    <w:unhideWhenUsed/>
    <w:rsid w:val="0013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Carney</dc:creator>
  <cp:lastModifiedBy>Donna Carney</cp:lastModifiedBy>
  <cp:revision>2</cp:revision>
  <cp:lastPrinted>2022-10-19T10:33:00Z</cp:lastPrinted>
  <dcterms:created xsi:type="dcterms:W3CDTF">2024-03-06T02:23:00Z</dcterms:created>
  <dcterms:modified xsi:type="dcterms:W3CDTF">2024-03-06T02:23:00Z</dcterms:modified>
</cp:coreProperties>
</file>