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DFN</w:t>
      </w:r>
      <w:r>
        <w:t xml:space="preserve"> </w:t>
      </w:r>
      <w:r>
        <w:t xml:space="preserve">Model</w:t>
      </w:r>
      <w:r>
        <w:t xml:space="preserve"> </w:t>
      </w:r>
      <w:r>
        <w:t xml:space="preserve">for</w:t>
      </w:r>
      <w:r>
        <w:t xml:space="preserve"> </w:t>
      </w:r>
      <w:r>
        <w:t xml:space="preserve">KIGAM</w:t>
      </w:r>
      <w:r>
        <w:t xml:space="preserve"> </w:t>
      </w:r>
      <w:r>
        <w:t xml:space="preserve">HLWD</w:t>
      </w:r>
      <w:r>
        <w:t xml:space="preserve"> </w:t>
      </w:r>
      <w:r>
        <w:t xml:space="preserve">Project</w:t>
      </w:r>
    </w:p>
    <w:p>
      <w:pPr>
        <w:pStyle w:val="Author"/>
      </w:pPr>
      <w:r>
        <w:t xml:space="preserve">B.</w:t>
      </w:r>
      <w:r>
        <w:t xml:space="preserve"> </w:t>
      </w:r>
      <w:r>
        <w:t xml:space="preserve">Jung</w:t>
      </w:r>
      <w:r>
        <w:rPr>
          <w:vertAlign w:val="superscript"/>
        </w:rPr>
        <w:t xml:space="preserve">1</w:t>
      </w:r>
      <w:r>
        <w:rPr>
          <w:vertAlign w:val="superscript"/>
        </w:rPr>
        <w:t xml:space="preserve">,</w:t>
      </w:r>
      <w:r>
        <w:rPr>
          <w:vertAlign w:val="superscript"/>
        </w:rPr>
        <w:t xml:space="preserve">✉</w:t>
      </w:r>
    </w:p>
    <w:p>
      <w:pPr>
        <w:pStyle w:val="Date"/>
      </w:pPr>
    </w:p>
    <w:p>
      <w:pPr>
        <w:pStyle w:val="FirstParagraph"/>
      </w:pPr>
      <w:r>
        <w:rPr>
          <w:vertAlign w:val="superscript"/>
        </w:rPr>
        <w:t xml:space="preserve">1</w:t>
      </w:r>
      <w:r>
        <w:t xml:space="preserve"> </w:t>
      </w:r>
      <w:r>
        <w:t xml:space="preserve">Groundwater Research Center, Korea Institute of Geoscience and Mineral Resources (KIGAM), Daejeon, South Korea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B. Jung &lt;bjung@kigam.re.kr&gt;</w:t>
        </w:r>
      </w:hyperlink>
    </w:p>
    <w:bookmarkStart w:id="21" w:name="abstract"/>
    <w:p>
      <w:pPr>
        <w:pStyle w:val="Heading2"/>
      </w:pPr>
      <w:r>
        <w:t xml:space="preserve">Abstract</w:t>
      </w:r>
    </w:p>
    <w:p>
      <w:pPr>
        <w:pStyle w:val="FirstParagraph"/>
      </w:pPr>
      <w:r>
        <w:t xml:space="preserve">Fracture and joint measurements from the field, for example, fracture orientation and aperture data, and length measurements by scan line method, can be reproduced to statistically identical joint sets. The statistical joint sets are assumed to have equal hydrogeological and geomechanical properties to those of the original base rocks.</w:t>
      </w:r>
    </w:p>
    <w:p>
      <w:pPr>
        <w:pStyle w:val="BodyText"/>
      </w:pPr>
      <w:r>
        <w:t xml:space="preserve">We analyze joints properties obtained in situ to estimate useful hydrogeological parameters such as permeability and anisotropic raito of the fractured aquifer. To do this, first we group all the measured joints into subsets which assumed to follow fisher distribution. Fracture lengths and aperture data are best if obtainable from the field, otherwise it can be set under proper assumptions.</w:t>
      </w:r>
    </w:p>
    <w:p>
      <w:pPr>
        <w:pStyle w:val="BodyText"/>
      </w:pPr>
      <w:r>
        <w:t xml:space="preserve">Then joint are generated following strictly rules to match original joint sets statistically.</w:t>
      </w:r>
      <w:r>
        <w:t xml:space="preserve"> </w:t>
      </w:r>
      <w:r>
        <w:t xml:space="preserve">Finally we conduct numerical modeling to estimate hydrogeological properties using generated joint sets. Generated and discretized fracture system can be upscaled to feed a continuum model which represent regional groundwater flow in the fractured aquifer and is potentially useful to obtain information when constructing nuclear wasted disposal site.</w:t>
      </w:r>
    </w:p>
    <w:p>
      <w:pPr>
        <w:pStyle w:val="BodyText"/>
      </w:pPr>
      <w:r>
        <w:t xml:space="preserve">Finally we try to predict the fates of various nuclear species possibly leaked through the waste container to near environment.</w:t>
      </w:r>
    </w:p>
    <w:bookmarkEnd w:id="21"/>
    <w:bookmarkStart w:id="22" w:name="introduction"/>
    <w:p>
      <w:pPr>
        <w:pStyle w:val="Heading2"/>
      </w:pPr>
      <w:r>
        <w:t xml:space="preserve">Introduction</w:t>
      </w:r>
    </w:p>
    <w:p>
      <w:pPr>
        <w:pStyle w:val="FirstParagraph"/>
      </w:pPr>
      <w:r>
        <w:t xml:space="preserve">There are many precedent research on characterizing hydrogeology of potential nuclear waste disposal sites [many references]. And discrete fracture network (DFN) modeling is one of most frequently used modeling options</w:t>
      </w:r>
      <w:r>
        <w:t xml:space="preserve"> </w:t>
      </w:r>
      <w:hyperlink w:anchor="reference">
        <w:r>
          <w:rPr>
            <w:rStyle w:val="Hyperlink"/>
          </w:rPr>
          <w:t xml:space="preserve">reference</w:t>
        </w:r>
      </w:hyperlink>
      <w:r>
        <w:t xml:space="preserve">. Recently hybrid approach appears that one can use both continuum model and DFN model in the same domain if boundaries of those models are properly treated</w:t>
      </w:r>
      <w:r>
        <w:t xml:space="preserve"> </w:t>
      </w:r>
      <w:hyperlink w:anchor="reference">
        <w:r>
          <w:rPr>
            <w:rStyle w:val="Hyperlink"/>
          </w:rPr>
          <w:t xml:space="preserve">reference</w:t>
        </w:r>
      </w:hyperlink>
      <w:r>
        <w:t xml:space="preserve">.</w:t>
      </w:r>
    </w:p>
    <w:p>
      <w:pPr>
        <w:pStyle w:val="BodyText"/>
      </w:pPr>
      <w:r>
        <w:t xml:space="preserve">Here we used dfnWorks to generate virtual joints and PFLOTRAN to simulate generated fracture blocks to estimate hydrogelogical properties. Both dfnworks and pflotran are developed in Los Alamos National Laboratory (LANL) and seamlessly operable under python environment</w:t>
      </w:r>
      <w:r>
        <w:t xml:space="preserve"> </w:t>
      </w:r>
      <w:hyperlink w:anchor="reference">
        <w:r>
          <w:rPr>
            <w:rStyle w:val="Hyperlink"/>
          </w:rPr>
          <w:t xml:space="preserve">reference</w:t>
        </w:r>
      </w:hyperlink>
      <w:r>
        <w:t xml:space="preserve">.</w:t>
      </w:r>
    </w:p>
    <w:p>
      <w:pPr>
        <w:pStyle w:val="BodyText"/>
      </w:pPr>
      <w:r>
        <w:t xml:space="preserve">The purpose of the paper is like below. First, we characterize fractured aquifers in the research area by using fracture properties obtained from various field and borehole tests. Second, we estimate hydrogeological properties by numerically simulating statistically identical joints sets made by DFN model. Finally, the generated model will be upscaled to be utilized by the continuum flow and reactive transport model to predict consequence of contingency leakage scenarios in the potential high-level nuclear waster disposal candidate sites.</w:t>
      </w:r>
    </w:p>
    <w:p>
      <w:pPr>
        <w:pStyle w:val="BodyText"/>
      </w:pPr>
      <w:r>
        <w:t xml:space="preserve">The scope of this paper: Generating joint sets representing the sites using borehole test data. Estimating hydraulic conductivity and anisotropic ratio. Building hydrogeological model representing fractured aquifer system of the candidate sites. Modeling leakage scenario and predict efficiency of the candidate site perspective to isolate nuclear waste disposal site from near hydraulic environment.</w:t>
      </w:r>
    </w:p>
    <w:bookmarkEnd w:id="22"/>
    <w:bookmarkStart w:id="23" w:name="backgrounds"/>
    <w:p>
      <w:pPr>
        <w:pStyle w:val="Heading2"/>
      </w:pPr>
      <w:r>
        <w:t xml:space="preserve">Backgrounds</w:t>
      </w:r>
    </w:p>
    <w:p>
      <w:pPr>
        <w:pStyle w:val="FirstParagraph"/>
      </w:pPr>
      <w:r>
        <w:rPr>
          <w:bCs/>
          <w:b/>
        </w:rPr>
        <w:t xml:space="preserve">Discrete fracture network model</w:t>
      </w:r>
    </w:p>
    <w:p>
      <w:pPr>
        <w:pStyle w:val="BodyText"/>
      </w:pPr>
      <w:r>
        <w:t xml:space="preserve">Previous studies on DFN model: history and important issues, Who did what, What important papers directly related to this paper.</w:t>
      </w:r>
    </w:p>
    <w:p>
      <w:pPr>
        <w:pStyle w:val="BodyText"/>
      </w:pPr>
      <w:r>
        <w:rPr>
          <w:bCs/>
          <w:b/>
        </w:rPr>
        <w:t xml:space="preserve">Reactive transport model of nuclear waste disposal site</w:t>
      </w:r>
    </w:p>
    <w:p>
      <w:pPr>
        <w:pStyle w:val="BodyText"/>
      </w:pPr>
      <w:r>
        <w:t xml:space="preserve">Previous studies, case studies, good examples utilize reactive transport model and DFN model techniques.</w:t>
      </w:r>
      <w:r>
        <w:t xml:space="preserve"> </w:t>
      </w:r>
      <w:r>
        <w:t xml:space="preserve">What they found out and key issues to be solved.</w:t>
      </w:r>
    </w:p>
    <w:bookmarkEnd w:id="23"/>
    <w:bookmarkStart w:id="28" w:name="methods"/>
    <w:p>
      <w:pPr>
        <w:pStyle w:val="Heading2"/>
      </w:pPr>
      <w:r>
        <w:t xml:space="preserve">Methods</w:t>
      </w:r>
    </w:p>
    <w:p>
      <w:pPr>
        <w:pStyle w:val="FirstParagraph"/>
      </w:pPr>
      <w:r>
        <w:rPr>
          <w:bCs/>
          <w:b/>
        </w:rPr>
        <w:t xml:space="preserve">Joint set grouping</w:t>
      </w:r>
    </w:p>
    <w:p>
      <w:pPr>
        <w:pStyle w:val="BodyText"/>
      </w:pPr>
      <w:r>
        <w:t xml:space="preserve">Joint data available from the borehole television include orientation, aperture, and spacing of fracture.</w:t>
      </w:r>
      <w:r>
        <w:t xml:space="preserve"> </w:t>
      </w:r>
      <w:r>
        <w:t xml:space="preserve">Not all joints are needed to estimate hydraulic properties of the rock. Some joints are closed or isolated from other joint cluster and not involved in groundwater flow. We only consider joints that are assumed to be open and works as groundwater conduits.</w:t>
      </w:r>
    </w:p>
    <w:p>
      <w:pPr>
        <w:pStyle w:val="BodyText"/>
      </w:pPr>
      <w:r>
        <w:t xml:space="preserve">How do we know the fracture is open? We assume that the joints located in the permeable intervals which identified as conduits are open and actively engaged in conduit groundwater. The permeable intervals are identified by separately operated Lugeon tests performed 4-8m intervals along the borehole.</w:t>
      </w:r>
    </w:p>
    <w:p>
      <w:pPr>
        <w:pStyle w:val="BodyText"/>
      </w:pPr>
      <w:r>
        <w:t xml:space="preserve">Joint data are filtered by depth and only joints in the permeable zones will be used for analysis.</w:t>
      </w:r>
      <w:r>
        <w:t xml:space="preserve"> </w:t>
      </w:r>
      <w:r>
        <w:t xml:space="preserve">Permeable zones in Wonju testing site are listed in Table </w:t>
      </w:r>
      <w:hyperlink w:anchor="tbl:permeable_zone">
        <w:r>
          <w:rPr>
            <w:rStyle w:val="Hyperlink"/>
          </w:rPr>
          <w:t xml:space="preserve">1</w:t>
        </w:r>
      </w:hyperlink>
      <w:r>
        <w:t xml:space="preserve">.</w:t>
      </w:r>
    </w:p>
    <w:bookmarkStart w:id="24" w:name="tbl:permeable_zone"/>
    <w:p>
      <w:pPr>
        <w:pStyle w:val="TableCaption"/>
      </w:pPr>
      <w:r>
        <w:t xml:space="preserve">Table 1: Permeable zone depths in the test borehole in Wonju</w:t>
      </w:r>
    </w:p>
    <w:tbl>
      <w:tblPr>
        <w:tblStyle w:val="Table"/>
        <w:tblW w:type="pct" w:w="0.0"/>
        <w:tblLook w:firstRow="1" w:lastRow="0" w:firstColumn="0" w:lastColumn="0" w:noHBand="0" w:noVBand="0" w:val="0020"/>
        <w:tblCaption w:val="Table 1: Permeable zone depths in the test borehole in Wonju"/>
      </w:tblPr>
      <w:tblGrid/>
      <w:tr>
        <w:tc>
          <w:p>
            <w:pPr>
              <w:pStyle w:val="Compact"/>
              <w:jc w:val="right"/>
            </w:pPr>
            <w:r>
              <w:t xml:space="preserve">Zone</w:t>
            </w:r>
          </w:p>
        </w:tc>
        <w:tc>
          <w:p>
            <w:pPr>
              <w:pStyle w:val="Compact"/>
              <w:jc w:val="center"/>
            </w:pPr>
            <w:r>
              <w:t xml:space="preserve">Upper to Lower Depth(m)</w:t>
            </w:r>
          </w:p>
        </w:tc>
        <w:tc>
          <w:p>
            <w:pPr>
              <w:pStyle w:val="Compact"/>
              <w:jc w:val="right"/>
            </w:pPr>
            <w:r>
              <w:t xml:space="preserve">Interval(m)</w:t>
            </w:r>
          </w:p>
        </w:tc>
      </w:tr>
      <w:tr>
        <w:tc>
          <w:p>
            <w:pPr>
              <w:pStyle w:val="Compact"/>
              <w:jc w:val="right"/>
            </w:pPr>
            <w:r>
              <w:t xml:space="preserve">1</w:t>
            </w:r>
          </w:p>
        </w:tc>
        <w:tc>
          <w:p>
            <w:pPr>
              <w:pStyle w:val="Compact"/>
              <w:jc w:val="center"/>
            </w:pPr>
            <w:r>
              <w:t xml:space="preserve">126.5-130.5</w:t>
            </w:r>
          </w:p>
        </w:tc>
        <w:tc>
          <w:p>
            <w:pPr>
              <w:pStyle w:val="Compact"/>
              <w:jc w:val="right"/>
            </w:pPr>
            <w:r>
              <w:t xml:space="preserve">4</w:t>
            </w:r>
          </w:p>
        </w:tc>
      </w:tr>
      <w:tr>
        <w:tc>
          <w:p>
            <w:pPr>
              <w:pStyle w:val="Compact"/>
              <w:jc w:val="right"/>
            </w:pPr>
            <w:r>
              <w:t xml:space="preserve">2</w:t>
            </w:r>
          </w:p>
        </w:tc>
        <w:tc>
          <w:p>
            <w:pPr>
              <w:pStyle w:val="Compact"/>
              <w:jc w:val="center"/>
            </w:pPr>
            <w:r>
              <w:t xml:space="preserve">213-217</w:t>
            </w:r>
          </w:p>
        </w:tc>
        <w:tc>
          <w:p>
            <w:pPr>
              <w:pStyle w:val="Compact"/>
              <w:jc w:val="right"/>
            </w:pPr>
            <w:r>
              <w:t xml:space="preserve">4</w:t>
            </w:r>
          </w:p>
        </w:tc>
      </w:tr>
      <w:tr>
        <w:tc>
          <w:p>
            <w:pPr>
              <w:pStyle w:val="Compact"/>
              <w:jc w:val="right"/>
            </w:pPr>
            <w:r>
              <w:t xml:space="preserve">3</w:t>
            </w:r>
          </w:p>
        </w:tc>
        <w:tc>
          <w:p>
            <w:pPr>
              <w:pStyle w:val="Compact"/>
              <w:jc w:val="center"/>
            </w:pPr>
            <w:r>
              <w:t xml:space="preserve">337-341</w:t>
            </w:r>
          </w:p>
        </w:tc>
        <w:tc>
          <w:p>
            <w:pPr>
              <w:pStyle w:val="Compact"/>
              <w:jc w:val="right"/>
            </w:pPr>
            <w:r>
              <w:t xml:space="preserve">4</w:t>
            </w:r>
          </w:p>
        </w:tc>
      </w:tr>
      <w:tr>
        <w:tc>
          <w:p>
            <w:pPr>
              <w:pStyle w:val="Compact"/>
              <w:jc w:val="right"/>
            </w:pPr>
            <w:r>
              <w:t xml:space="preserve">4</w:t>
            </w:r>
          </w:p>
        </w:tc>
        <w:tc>
          <w:p>
            <w:pPr>
              <w:pStyle w:val="Compact"/>
              <w:jc w:val="center"/>
            </w:pPr>
            <w:r>
              <w:t xml:space="preserve">398-402</w:t>
            </w:r>
          </w:p>
        </w:tc>
        <w:tc>
          <w:p>
            <w:pPr>
              <w:pStyle w:val="Compact"/>
              <w:jc w:val="right"/>
            </w:pPr>
            <w:r>
              <w:t xml:space="preserve">4</w:t>
            </w:r>
          </w:p>
        </w:tc>
      </w:tr>
      <w:tr>
        <w:tc>
          <w:p>
            <w:pPr>
              <w:pStyle w:val="Compact"/>
              <w:jc w:val="right"/>
            </w:pPr>
            <w:r>
              <w:t xml:space="preserve">5</w:t>
            </w:r>
          </w:p>
        </w:tc>
        <w:tc>
          <w:p>
            <w:pPr>
              <w:pStyle w:val="Compact"/>
              <w:jc w:val="center"/>
            </w:pPr>
            <w:r>
              <w:t xml:space="preserve">423.5-427.5</w:t>
            </w:r>
          </w:p>
        </w:tc>
        <w:tc>
          <w:p>
            <w:pPr>
              <w:pStyle w:val="Compact"/>
              <w:jc w:val="right"/>
            </w:pPr>
            <w:r>
              <w:t xml:space="preserve">4</w:t>
            </w:r>
          </w:p>
        </w:tc>
      </w:tr>
      <w:tr>
        <w:tc>
          <w:p>
            <w:pPr>
              <w:pStyle w:val="Compact"/>
              <w:jc w:val="right"/>
            </w:pPr>
            <w:r>
              <w:t xml:space="preserve">6</w:t>
            </w:r>
          </w:p>
        </w:tc>
        <w:tc>
          <w:p>
            <w:pPr>
              <w:pStyle w:val="Compact"/>
              <w:jc w:val="center"/>
            </w:pPr>
            <w:r>
              <w:t xml:space="preserve">468-472</w:t>
            </w:r>
          </w:p>
        </w:tc>
        <w:tc>
          <w:p>
            <w:pPr>
              <w:pStyle w:val="Compact"/>
              <w:jc w:val="right"/>
            </w:pPr>
            <w:r>
              <w:t xml:space="preserve">4</w:t>
            </w:r>
          </w:p>
        </w:tc>
      </w:tr>
      <w:tr>
        <w:tc>
          <w:p>
            <w:pPr>
              <w:pStyle w:val="Compact"/>
              <w:jc w:val="right"/>
            </w:pPr>
            <w:r>
              <w:t xml:space="preserve">7</w:t>
            </w:r>
          </w:p>
        </w:tc>
        <w:tc>
          <w:p>
            <w:pPr>
              <w:pStyle w:val="Compact"/>
              <w:jc w:val="center"/>
            </w:pPr>
            <w:r>
              <w:t xml:space="preserve">475-479</w:t>
            </w:r>
          </w:p>
        </w:tc>
        <w:tc>
          <w:p>
            <w:pPr>
              <w:pStyle w:val="Compact"/>
              <w:jc w:val="right"/>
            </w:pPr>
            <w:r>
              <w:t xml:space="preserve">4</w:t>
            </w:r>
          </w:p>
        </w:tc>
      </w:tr>
      <w:tr>
        <w:tc>
          <w:p>
            <w:pPr>
              <w:pStyle w:val="Compact"/>
              <w:jc w:val="right"/>
            </w:pPr>
            <w:r>
              <w:t xml:space="preserve">8</w:t>
            </w:r>
          </w:p>
        </w:tc>
        <w:tc>
          <w:p>
            <w:pPr>
              <w:pStyle w:val="Compact"/>
              <w:jc w:val="center"/>
            </w:pPr>
            <w:r>
              <w:t xml:space="preserve">488-496</w:t>
            </w:r>
          </w:p>
        </w:tc>
        <w:tc>
          <w:p>
            <w:pPr>
              <w:pStyle w:val="Compact"/>
              <w:jc w:val="right"/>
            </w:pPr>
            <w:r>
              <w:t xml:space="preserve">8</w:t>
            </w:r>
          </w:p>
        </w:tc>
      </w:tr>
      <w:tr>
        <w:tc>
          <w:p>
            <w:pPr>
              <w:pStyle w:val="Compact"/>
              <w:jc w:val="right"/>
            </w:pPr>
            <w:r>
              <w:t xml:space="preserve">9</w:t>
            </w:r>
          </w:p>
        </w:tc>
        <w:tc>
          <w:p>
            <w:pPr>
              <w:pStyle w:val="Compact"/>
              <w:jc w:val="center"/>
            </w:pPr>
            <w:r>
              <w:t xml:space="preserve">503-512</w:t>
            </w:r>
          </w:p>
        </w:tc>
        <w:tc>
          <w:p>
            <w:pPr>
              <w:pStyle w:val="Compact"/>
              <w:jc w:val="right"/>
            </w:pPr>
            <w:r>
              <w:t xml:space="preserve">8</w:t>
            </w:r>
          </w:p>
        </w:tc>
      </w:tr>
      <w:tr>
        <w:tc>
          <w:p>
            <w:pPr>
              <w:pStyle w:val="Compact"/>
              <w:jc w:val="right"/>
            </w:pPr>
            <w:r>
              <w:t xml:space="preserve">10</w:t>
            </w:r>
          </w:p>
        </w:tc>
        <w:tc>
          <w:p>
            <w:pPr>
              <w:pStyle w:val="Compact"/>
              <w:jc w:val="center"/>
            </w:pPr>
            <w:r>
              <w:t xml:space="preserve">513-521</w:t>
            </w:r>
          </w:p>
        </w:tc>
        <w:tc>
          <w:p>
            <w:pPr>
              <w:pStyle w:val="Compact"/>
              <w:jc w:val="right"/>
            </w:pPr>
            <w:r>
              <w:t xml:space="preserve">8</w:t>
            </w:r>
          </w:p>
        </w:tc>
      </w:tr>
      <w:tr>
        <w:tc>
          <w:p>
            <w:pPr>
              <w:pStyle w:val="Compact"/>
              <w:jc w:val="right"/>
            </w:pPr>
            <w:r>
              <w:t xml:space="preserve">11</w:t>
            </w:r>
          </w:p>
        </w:tc>
        <w:tc>
          <w:p>
            <w:pPr>
              <w:pStyle w:val="Compact"/>
              <w:jc w:val="center"/>
            </w:pPr>
            <w:r>
              <w:t xml:space="preserve">556-560</w:t>
            </w:r>
          </w:p>
        </w:tc>
        <w:tc>
          <w:p>
            <w:pPr>
              <w:pStyle w:val="Compact"/>
              <w:jc w:val="right"/>
            </w:pPr>
            <w:r>
              <w:t xml:space="preserve">4</w:t>
            </w:r>
          </w:p>
        </w:tc>
      </w:tr>
      <w:tr>
        <w:tc>
          <w:p>
            <w:pPr>
              <w:pStyle w:val="Compact"/>
              <w:jc w:val="right"/>
            </w:pPr>
            <w:r>
              <w:t xml:space="preserve">12</w:t>
            </w:r>
          </w:p>
        </w:tc>
        <w:tc>
          <w:p>
            <w:pPr>
              <w:pStyle w:val="Compact"/>
              <w:jc w:val="center"/>
            </w:pPr>
            <w:r>
              <w:t xml:space="preserve">577.5-585.5</w:t>
            </w:r>
          </w:p>
        </w:tc>
        <w:tc>
          <w:p>
            <w:pPr>
              <w:pStyle w:val="Compact"/>
              <w:jc w:val="right"/>
            </w:pPr>
            <w:r>
              <w:t xml:space="preserve">8</w:t>
            </w:r>
          </w:p>
        </w:tc>
      </w:tr>
      <w:tr>
        <w:tc>
          <w:p>
            <w:pPr>
              <w:pStyle w:val="Compact"/>
              <w:jc w:val="right"/>
            </w:pPr>
            <w:r>
              <w:t xml:space="preserve">13</w:t>
            </w:r>
          </w:p>
        </w:tc>
        <w:tc>
          <w:p>
            <w:pPr>
              <w:pStyle w:val="Compact"/>
              <w:jc w:val="center"/>
            </w:pPr>
            <w:r>
              <w:t xml:space="preserve">598-606</w:t>
            </w:r>
          </w:p>
        </w:tc>
        <w:tc>
          <w:p>
            <w:pPr>
              <w:pStyle w:val="Compact"/>
              <w:jc w:val="right"/>
            </w:pPr>
            <w:r>
              <w:t xml:space="preserve">8</w:t>
            </w:r>
          </w:p>
        </w:tc>
      </w:tr>
    </w:tbl>
    <w:bookmarkEnd w:id="24"/>
    <w:p>
      <w:pPr>
        <w:pStyle w:val="BodyText"/>
      </w:pPr>
      <w:r>
        <w:t xml:space="preserve">Generalized qualitative classification criteria for the fracture system is organized in Table </w:t>
      </w:r>
      <w:hyperlink w:anchor="tbl:class_frac">
        <w:r>
          <w:rPr>
            <w:rStyle w:val="Hyperlink"/>
          </w:rPr>
          <w:t xml:space="preserve">2</w:t>
        </w:r>
      </w:hyperlink>
      <w:r>
        <w:t xml:space="preserve">. Order 4 fracture is our concern because we assume that the candidate sites are generally located in a selected pure basement rock block free of regional fracture sets.</w:t>
      </w:r>
    </w:p>
    <w:bookmarkStart w:id="25" w:name="tbl:class_frac"/>
    <w:p>
      <w:pPr>
        <w:pStyle w:val="TableCaption"/>
      </w:pPr>
      <w:r>
        <w:t xml:space="preserve">Table 2: Generalized qualitative classification criteria for the fracture system</w:t>
      </w:r>
    </w:p>
    <w:tbl>
      <w:tblPr>
        <w:tblStyle w:val="Table"/>
        <w:tblW w:type="pct" w:w="0.0"/>
        <w:tblLook w:firstRow="1" w:lastRow="0" w:firstColumn="0" w:lastColumn="0" w:noHBand="0" w:noVBand="0" w:val="0020"/>
        <w:tblCaption w:val="Table 2: Generalized qualitative classification criteria for the fracture system"/>
      </w:tblPr>
      <w:tblGrid/>
      <w:tr>
        <w:tc>
          <w:p>
            <w:pPr>
              <w:pStyle w:val="Compact"/>
              <w:jc w:val="left"/>
            </w:pPr>
            <w:r>
              <w:t xml:space="preserve">Classification</w:t>
            </w:r>
          </w:p>
        </w:tc>
        <w:tc>
          <w:p>
            <w:pPr>
              <w:pStyle w:val="Compact"/>
              <w:jc w:val="left"/>
            </w:pPr>
            <w:r>
              <w:t xml:space="preserve">Distribution Characteristics</w:t>
            </w:r>
          </w:p>
        </w:tc>
      </w:tr>
      <w:tr>
        <w:tc>
          <w:p>
            <w:pPr>
              <w:pStyle w:val="Compact"/>
              <w:jc w:val="left"/>
            </w:pPr>
            <w:r>
              <w:t xml:space="preserve">Order 1</w:t>
            </w:r>
          </w:p>
        </w:tc>
        <w:tc>
          <w:p>
            <w:pPr>
              <w:pStyle w:val="Compact"/>
              <w:jc w:val="left"/>
            </w:pPr>
            <w:r>
              <w:t xml:space="preserve">시설이 들어설 암반 블록의 경계역할을 하는 주요 광역 구조선</w:t>
            </w:r>
          </w:p>
        </w:tc>
      </w:tr>
      <w:tr>
        <w:tc>
          <w:p/>
        </w:tc>
        <w:tc>
          <w:p>
            <w:pPr>
              <w:pStyle w:val="Compact"/>
              <w:jc w:val="left"/>
            </w:pPr>
            <w:r>
              <w:t xml:space="preserve">(major regional structure)</w:t>
            </w:r>
          </w:p>
        </w:tc>
      </w:tr>
      <w:tr>
        <w:tc>
          <w:p>
            <w:pPr>
              <w:pStyle w:val="Compact"/>
              <w:jc w:val="left"/>
            </w:pPr>
            <w:r>
              <w:t xml:space="preserve">Order 2</w:t>
            </w:r>
          </w:p>
        </w:tc>
        <w:tc>
          <w:p>
            <w:pPr>
              <w:pStyle w:val="Compact"/>
              <w:jc w:val="left"/>
            </w:pPr>
            <w:r>
              <w:t xml:space="preserve">단위 지하공동 사이를 통과할 수 있는 주요 균열대</w:t>
            </w:r>
          </w:p>
        </w:tc>
      </w:tr>
      <w:tr>
        <w:tc>
          <w:p/>
        </w:tc>
        <w:tc>
          <w:p>
            <w:pPr>
              <w:pStyle w:val="Compact"/>
              <w:jc w:val="left"/>
            </w:pPr>
            <w:r>
              <w:t xml:space="preserve">(major fracture zones)</w:t>
            </w:r>
          </w:p>
        </w:tc>
      </w:tr>
      <w:tr>
        <w:tc>
          <w:p>
            <w:pPr>
              <w:pStyle w:val="Compact"/>
              <w:jc w:val="left"/>
            </w:pPr>
            <w:r>
              <w:t xml:space="preserve">Order 3</w:t>
            </w:r>
          </w:p>
        </w:tc>
        <w:tc>
          <w:p>
            <w:pPr>
              <w:pStyle w:val="Compact"/>
              <w:jc w:val="left"/>
            </w:pPr>
            <w:r>
              <w:t xml:space="preserve">지하공동을 통화하는 주교 균열체계 (major fracture system)</w:t>
            </w:r>
          </w:p>
        </w:tc>
      </w:tr>
      <w:tr>
        <w:tc>
          <w:p/>
        </w:tc>
        <w:tc>
          <w:p>
            <w:pPr>
              <w:pStyle w:val="Compact"/>
              <w:jc w:val="left"/>
            </w:pPr>
            <w:r>
              <w:t xml:space="preserve">및 국지균열대 (local fracture zones)</w:t>
            </w:r>
          </w:p>
        </w:tc>
      </w:tr>
      <w:tr>
        <w:tc>
          <w:p>
            <w:pPr>
              <w:pStyle w:val="Compact"/>
              <w:jc w:val="left"/>
            </w:pPr>
            <w:r>
              <w:t xml:space="preserve">Order 4</w:t>
            </w:r>
          </w:p>
        </w:tc>
        <w:tc>
          <w:p>
            <w:pPr>
              <w:pStyle w:val="Compact"/>
              <w:jc w:val="left"/>
            </w:pPr>
            <w:r>
              <w:t xml:space="preserve">통상 암반에 분포되어 있는 절리 등의 균열체계 (fracture system)</w:t>
            </w:r>
          </w:p>
        </w:tc>
      </w:tr>
    </w:tbl>
    <w:bookmarkEnd w:id="25"/>
    <w:p>
      <w:pPr>
        <w:pStyle w:val="BodyText"/>
      </w:pPr>
      <w:r>
        <w:t xml:space="preserve">We consider only Order 4 joints and permeable joints. The joints from the borehole TV data that are not located in permeable zones are considered isolated and not interconnected for flow.</w:t>
      </w:r>
    </w:p>
    <w:p>
      <w:pPr>
        <w:pStyle w:val="BodyText"/>
      </w:pPr>
      <w:r>
        <w:t xml:space="preserve">Filtered joints are classified using cluster analysis. We used k-means clustering method.</w:t>
      </w:r>
    </w:p>
    <w:p>
      <w:pPr>
        <w:pStyle w:val="BodyText"/>
      </w:pPr>
      <w:r>
        <w:rPr>
          <w:bCs/>
          <w:b/>
        </w:rPr>
        <w:t xml:space="preserve">Joint generation</w:t>
      </w:r>
      <w:r>
        <w:t xml:space="preserve"> </w:t>
      </w:r>
      <w:r>
        <w:t xml:space="preserve">Using statistical properties of each joint sets, virtual joints are generated. dfnWorks requires mean strike/dip, fisher-k, minimum and maximum fracture length, and aperture data. dfnWorks generates joints until desired joint density,</w:t>
      </w:r>
      <w:r>
        <w:t xml:space="preserve"> </w:t>
      </w:r>
      <m:oMath>
        <m:sSub>
          <m:e>
            <m:r>
              <m:t>P</m:t>
            </m:r>
          </m:e>
          <m:sub>
            <m:r>
              <m:t>32</m:t>
            </m:r>
          </m:sub>
        </m:sSub>
      </m:oMath>
      <w:r>
        <w:t xml:space="preserve">, reached.</w:t>
      </w:r>
      <w:r>
        <w:t xml:space="preserve"> </w:t>
      </w:r>
      <m:oMath>
        <m:sSub>
          <m:e>
            <m:r>
              <m:t>P</m:t>
            </m:r>
          </m:e>
          <m:sub>
            <m:r>
              <m:t>32</m:t>
            </m:r>
          </m:sub>
        </m:sSub>
      </m:oMath>
      <w:r>
        <w:t xml:space="preserve"> </w:t>
      </w:r>
      <w:r>
        <w:t xml:space="preserve">is defined as the total area of fracture per unit volume (</w:t>
      </w:r>
      <w:hyperlink w:anchor="ref-Dershowitz1984">
        <w:r>
          <w:rPr>
            <w:rStyle w:val="Hyperlink"/>
          </w:rPr>
          <w:t xml:space="preserve">Dershowitz</w:t>
        </w:r>
      </w:hyperlink>
      <w:r>
        <w:t xml:space="preserve"> </w:t>
      </w:r>
      <w:r>
        <w:t xml:space="preserve">(</w:t>
      </w:r>
      <w:hyperlink w:anchor="ref-Dershowitz1984">
        <w:r>
          <w:rPr>
            <w:rStyle w:val="Hyperlink"/>
          </w:rPr>
          <w:t xml:space="preserve">1985</w:t>
        </w:r>
      </w:hyperlink>
      <w:r>
        <w:t xml:space="preserve">)</w:t>
      </w:r>
      <w:r>
        <w:t xml:space="preserve">) and can be calculated using mean spacing of joint sets in borehole.</w:t>
      </w:r>
    </w:p>
    <w:p>
      <w:pPr>
        <w:pStyle w:val="BodyText"/>
      </w:pPr>
      <m:oMath>
        <m:sSub>
          <m:e>
            <m:r>
              <m:t>P</m:t>
            </m:r>
          </m:e>
          <m:sub>
            <m:r>
              <m:t>32</m:t>
            </m:r>
          </m:sub>
        </m:sSub>
      </m:oMath>
      <w:r>
        <w:t xml:space="preserve"> </w:t>
      </w:r>
      <w:r>
        <w:t xml:space="preserve">can be calculated like below (</w:t>
      </w:r>
      <w:hyperlink w:anchor="ref-Park2015">
        <w:r>
          <w:rPr>
            <w:rStyle w:val="Hyperlink"/>
          </w:rPr>
          <w:t xml:space="preserve">Park et al.</w:t>
        </w:r>
      </w:hyperlink>
      <w:r>
        <w:t xml:space="preserve"> </w:t>
      </w:r>
      <w:r>
        <w:t xml:space="preserve">(</w:t>
      </w:r>
      <w:hyperlink w:anchor="ref-Park2015">
        <w:r>
          <w:rPr>
            <w:rStyle w:val="Hyperlink"/>
          </w:rPr>
          <w:t xml:space="preserve">2015</w:t>
        </w:r>
      </w:hyperlink>
      <w:r>
        <w:t xml:space="preserve">)</w:t>
      </w:r>
      <w:r>
        <w:t xml:space="preserve">).</w:t>
      </w:r>
    </w:p>
    <w:p>
      <w:pPr>
        <w:pStyle w:val="BodyText"/>
      </w:pPr>
      <w:bookmarkStart w:id="26" w:name="eq:p32_eq_af_vt"/>
      <m:oMathPara>
        <m:oMathParaPr>
          <m:jc m:val="center"/>
        </m:oMathParaPr>
        <m:oMath>
          <m:sSub>
            <m:e>
              <m:r>
                <m:t>P</m:t>
              </m:r>
            </m:e>
            <m:sub>
              <m:r>
                <m:t>32</m:t>
              </m:r>
            </m:sub>
          </m:sSub>
          <m:r>
            <m:rPr>
              <m:sty m:val="p"/>
            </m:rPr>
            <m:t>=</m:t>
          </m:r>
          <m:f>
            <m:fPr>
              <m:type m:val="bar"/>
            </m:fPr>
            <m:num>
              <m:sSub>
                <m:e>
                  <m:r>
                    <m:t>A</m:t>
                  </m:r>
                </m:e>
                <m:sub>
                  <m:r>
                    <m:t>f</m:t>
                  </m:r>
                </m:sub>
              </m:sSub>
            </m:num>
            <m:den>
              <m:sSub>
                <m:e>
                  <m:r>
                    <m:t>V</m:t>
                  </m:r>
                </m:e>
                <m:sub>
                  <m:r>
                    <m:t>t</m:t>
                  </m:r>
                </m:sub>
              </m:sSub>
            </m:den>
          </m:f>
          <m:r>
            <m:t>  </m:t>
          </m:r>
          <m:r>
            <m:rPr>
              <m:sty m:val="p"/>
            </m:rPr>
            <m:t>(</m:t>
          </m:r>
          <m:r>
            <m:t>1</m:t>
          </m:r>
          <m:r>
            <m:rPr>
              <m:sty m:val="p"/>
            </m:rPr>
            <m:t>)</m:t>
          </m:r>
        </m:oMath>
      </m:oMathPara>
      <w:bookmarkEnd w:id="26"/>
    </w:p>
    <w:p>
      <w:pPr>
        <w:pStyle w:val="FirstParagraph"/>
      </w:pPr>
      <w:r>
        <w:t xml:space="preserve">CCwhere</w:t>
      </w:r>
      <w:r>
        <w:t xml:space="preserve"> </w:t>
      </w:r>
      <m:oMath>
        <m:sSub>
          <m:e>
            <m:r>
              <m:t>A</m:t>
            </m:r>
          </m:e>
          <m:sub>
            <m:r>
              <m:t>f</m:t>
            </m:r>
          </m:sub>
        </m:sSub>
      </m:oMath>
      <w:r>
        <w:t xml:space="preserve"> </w:t>
      </w:r>
      <w:r>
        <w:t xml:space="preserve">= total area of fracture and</w:t>
      </w:r>
      <w:r>
        <w:t xml:space="preserve"> </w:t>
      </w:r>
      <m:oMath>
        <m:sSub>
          <m:e>
            <m:r>
              <m:t>V</m:t>
            </m:r>
          </m:e>
          <m:sub>
            <m:r>
              <m:t>t</m:t>
            </m:r>
          </m:sub>
        </m:sSub>
      </m:oMath>
      <w:r>
        <w:t xml:space="preserve"> </w:t>
      </w:r>
      <w:r>
        <w:t xml:space="preserve">= total volume.</w:t>
      </w:r>
      <w:r>
        <w:t xml:space="preserve"> </w:t>
      </w:r>
      <m:oMath>
        <m:sSub>
          <m:e>
            <m:r>
              <m:t>P</m:t>
            </m:r>
          </m:e>
          <m:sub>
            <m:r>
              <m:t>32</m:t>
            </m:r>
          </m:sub>
        </m:sSub>
      </m:oMath>
      <w:r>
        <w:t xml:space="preserve"> </w:t>
      </w:r>
      <w:r>
        <w:t xml:space="preserve">is dimensional (in units of 1/m), but is a scale independent(i.e., it does not depend upon the volume studied or the orientation of the measurement). Alternative measures, such as the number of fractures per unit are, are scale dependent.</w:t>
      </w:r>
    </w:p>
    <w:p>
      <w:pPr>
        <w:pStyle w:val="BodyText"/>
      </w:pPr>
      <w:r>
        <w:t xml:space="preserve">CCThe intensity of faults and fractures are frequently represented in mean spacing,</w:t>
      </w:r>
      <w:r>
        <w:t xml:space="preserve"> </w:t>
      </w:r>
      <m:oMath>
        <m:r>
          <m:t>E</m:t>
        </m:r>
        <m:r>
          <m:rPr>
            <m:sty m:val="p"/>
          </m:rPr>
          <m:t>[</m:t>
        </m:r>
        <m:sSub>
          <m:e>
            <m:r>
              <m:t>S</m:t>
            </m:r>
          </m:e>
          <m:sub>
            <m:r>
              <m:t>f</m:t>
            </m:r>
          </m:sub>
        </m:sSub>
        <m:r>
          <m:rPr>
            <m:sty m:val="p"/>
          </m:rPr>
          <m:t>]</m:t>
        </m:r>
        <m:r>
          <m:rPr>
            <m:sty m:val="p"/>
          </m:rPr>
          <m:t>)</m:t>
        </m:r>
      </m:oMath>
      <w:r>
        <w:t xml:space="preserve">, between fractures or faults within a set. The relationship between</w:t>
      </w:r>
      <w:r>
        <w:t xml:space="preserve"> </w:t>
      </w:r>
      <m:oMath>
        <m:r>
          <m:t>E</m:t>
        </m:r>
        <m:r>
          <m:rPr>
            <m:sty m:val="p"/>
          </m:rPr>
          <m:t>[</m:t>
        </m:r>
        <m:sSub>
          <m:e>
            <m:r>
              <m:t>S</m:t>
            </m:r>
          </m:e>
          <m:sub>
            <m:r>
              <m:t>f</m:t>
            </m:r>
          </m:sub>
        </m:sSub>
        <m:r>
          <m:rPr>
            <m:sty m:val="p"/>
          </m:rPr>
          <m:t>]</m:t>
        </m:r>
        <m:r>
          <m:rPr>
            <m:sty m:val="p"/>
          </m:rPr>
          <m:t>)</m:t>
        </m:r>
      </m:oMath>
      <w:r>
        <w:t xml:space="preserve"> </w:t>
      </w:r>
      <w:r>
        <w:t xml:space="preserve">and</w:t>
      </w:r>
      <w:r>
        <w:t xml:space="preserve"> </w:t>
      </w:r>
      <m:oMath>
        <m:sSub>
          <m:e>
            <m:r>
              <m:t>P</m:t>
            </m:r>
          </m:e>
          <m:sub>
            <m:r>
              <m:t>32</m:t>
            </m:r>
          </m:sub>
        </m:sSub>
      </m:oMath>
      <w:r>
        <w:t xml:space="preserve"> </w:t>
      </w:r>
      <w:r>
        <w:t xml:space="preserve">depends upon the distribution of the orientation of fractures relative to the line along which the spacing</w:t>
      </w:r>
      <w:r>
        <w:t xml:space="preserve"> </w:t>
      </w:r>
      <m:oMath>
        <m:sSub>
          <m:e>
            <m:r>
              <m:t>S</m:t>
            </m:r>
          </m:e>
          <m:sub>
            <m:r>
              <m:t>f</m:t>
            </m:r>
          </m:sub>
        </m:sSub>
      </m:oMath>
      <w:r>
        <w:t xml:space="preserve"> </w:t>
      </w:r>
      <w:r>
        <w:t xml:space="preserve">was measured:</w:t>
      </w:r>
    </w:p>
    <w:p>
      <w:pPr>
        <w:pStyle w:val="BodyText"/>
      </w:pPr>
      <w:bookmarkStart w:id="27" w:name="eq:p32_eq_cp_esf"/>
      <m:oMathPara>
        <m:oMathParaPr>
          <m:jc m:val="center"/>
        </m:oMathParaPr>
        <m:oMath>
          <m:sSub>
            <m:e>
              <m:r>
                <m:t>P</m:t>
              </m:r>
            </m:e>
            <m:sub>
              <m:r>
                <m:t>32</m:t>
              </m:r>
            </m:sub>
          </m:sSub>
          <m:r>
            <m:rPr>
              <m:sty m:val="p"/>
            </m:rPr>
            <m:t>=</m:t>
          </m:r>
          <m:f>
            <m:fPr>
              <m:type m:val="bar"/>
            </m:fPr>
            <m:num>
              <m:sSub>
                <m:e>
                  <m:r>
                    <m:t>C</m:t>
                  </m:r>
                </m:e>
                <m:sub>
                  <m:r>
                    <m:t>p</m:t>
                  </m:r>
                </m:sub>
              </m:sSub>
            </m:num>
            <m:den>
              <m:r>
                <m:t>E</m:t>
              </m:r>
              <m:r>
                <m:rPr>
                  <m:sty m:val="p"/>
                </m:rPr>
                <m:t>[</m:t>
              </m:r>
              <m:sSub>
                <m:e>
                  <m:r>
                    <m:t>S</m:t>
                  </m:r>
                </m:e>
                <m:sub>
                  <m:r>
                    <m:t>f</m:t>
                  </m:r>
                </m:sub>
              </m:sSub>
              <m:r>
                <m:rPr>
                  <m:sty m:val="p"/>
                </m:rPr>
                <m:t>]</m:t>
              </m:r>
            </m:den>
          </m:f>
          <m:r>
            <m:t>  </m:t>
          </m:r>
          <m:r>
            <m:rPr>
              <m:sty m:val="p"/>
            </m:rPr>
            <m:t>(</m:t>
          </m:r>
          <m:r>
            <m:t>2</m:t>
          </m:r>
          <m:r>
            <m:rPr>
              <m:sty m:val="p"/>
            </m:rPr>
            <m:t>)</m:t>
          </m:r>
        </m:oMath>
      </m:oMathPara>
      <w:bookmarkEnd w:id="27"/>
    </w:p>
    <w:p>
      <w:pPr>
        <w:pStyle w:val="FirstParagraph"/>
      </w:pPr>
      <w:r>
        <w:t xml:space="preserve">CCwhere</w:t>
      </w:r>
      <w:r>
        <w:t xml:space="preserve"> </w:t>
      </w:r>
      <m:oMath>
        <m:sSub>
          <m:e>
            <m:r>
              <m:t>C</m:t>
            </m:r>
          </m:e>
          <m:sub>
            <m:r>
              <m:t>p</m:t>
            </m:r>
          </m:sub>
        </m:sSub>
      </m:oMath>
      <w:r>
        <w:t xml:space="preserve"> </w:t>
      </w:r>
      <w:r>
        <w:t xml:space="preserve">= constant dependent upon the distribution of the orientation of fractures relative to the line along which the spacing</w:t>
      </w:r>
      <w:r>
        <w:t xml:space="preserve"> </w:t>
      </w:r>
      <m:oMath>
        <m:sSub>
          <m:e>
            <m:r>
              <m:t>S</m:t>
            </m:r>
          </m:e>
          <m:sub>
            <m:r>
              <m:t>f</m:t>
            </m:r>
          </m:sub>
        </m:sSub>
      </m:oMath>
      <w:r>
        <w:t xml:space="preserve"> </w:t>
      </w:r>
      <w:r>
        <w:t xml:space="preserve">was measured.</w:t>
      </w:r>
    </w:p>
    <w:p>
      <w:pPr>
        <w:pStyle w:val="BodyText"/>
      </w:pPr>
      <w:r>
        <w:t xml:space="preserve">CCFor a uniform distribution of fracture organization,</w:t>
      </w:r>
      <w:r>
        <w:t xml:space="preserve"> </w:t>
      </w:r>
      <w:hyperlink w:anchor="ref-Dershowitz1984">
        <w:r>
          <w:rPr>
            <w:rStyle w:val="Hyperlink"/>
          </w:rPr>
          <w:t xml:space="preserve">Dershowitz</w:t>
        </w:r>
      </w:hyperlink>
      <w:r>
        <w:t xml:space="preserve"> </w:t>
      </w:r>
      <w:r>
        <w:t xml:space="preserve">(</w:t>
      </w:r>
      <w:hyperlink w:anchor="ref-Dershowitz1984">
        <w:r>
          <w:rPr>
            <w:rStyle w:val="Hyperlink"/>
          </w:rPr>
          <w:t xml:space="preserve">1985</w:t>
        </w:r>
      </w:hyperlink>
      <w:r>
        <w:t xml:space="preserve">)</w:t>
      </w:r>
      <w:r>
        <w:t xml:space="preserve"> </w:t>
      </w:r>
      <w:r>
        <w:t xml:space="preserve">found a value of</w:t>
      </w:r>
      <w:r>
        <w:t xml:space="preserve"> </w:t>
      </w:r>
      <m:oMath>
        <m:sSub>
          <m:e>
            <m:r>
              <m:t>C</m:t>
            </m:r>
          </m:e>
          <m:sub>
            <m:r>
              <m:t>p</m:t>
            </m:r>
          </m:sub>
        </m:sSub>
      </m:oMath>
      <w:r>
        <w:t xml:space="preserve"> </w:t>
      </w:r>
      <w:r>
        <w:t xml:space="preserve">of 2.0. For most fracture geometries,</w:t>
      </w:r>
      <w:r>
        <w:t xml:space="preserve"> </w:t>
      </w:r>
      <m:oMath>
        <m:sSub>
          <m:e>
            <m:r>
              <m:t>C</m:t>
            </m:r>
          </m:e>
          <m:sub>
            <m:r>
              <m:t>p</m:t>
            </m:r>
          </m:sub>
        </m:sSub>
      </m:oMath>
      <w:r>
        <w:t xml:space="preserve"> </w:t>
      </w:r>
      <w:r>
        <w:t xml:space="preserve">will vary between 1.0 and 3.0. The exact value of</w:t>
      </w:r>
      <w:r>
        <w:t xml:space="preserve"> </w:t>
      </w:r>
      <m:oMath>
        <m:sSub>
          <m:e>
            <m:r>
              <m:t>C</m:t>
            </m:r>
          </m:e>
          <m:sub>
            <m:r>
              <m:t>p</m:t>
            </m:r>
          </m:sub>
        </m:sSub>
      </m:oMath>
      <w:r>
        <w:t xml:space="preserve"> </w:t>
      </w:r>
      <w:r>
        <w:t xml:space="preserve">for a particular fracture and borehole geometry can be found by simulated well sampling using FracMan.</w:t>
      </w:r>
    </w:p>
    <w:bookmarkEnd w:id="28"/>
    <w:bookmarkStart w:id="32" w:name="results-and-discussion"/>
    <w:p>
      <w:pPr>
        <w:pStyle w:val="Heading2"/>
      </w:pPr>
      <w:r>
        <w:t xml:space="preserve">Results and Discussion</w:t>
      </w:r>
    </w:p>
    <w:p>
      <w:pPr>
        <w:pStyle w:val="FirstParagraph"/>
      </w:pPr>
      <w:r>
        <w:t xml:space="preserve">Put figure like this.</w:t>
      </w:r>
    </w:p>
    <w:p>
      <w:pPr>
        <w:pStyle w:val="CaptionedFigure"/>
      </w:pPr>
      <w:bookmarkStart w:id="30" w:name="fig:fig1"/>
      <w:r>
        <w:drawing>
          <wp:inline>
            <wp:extent cx="5334000" cy="3000375"/>
            <wp:effectExtent b="0" l="0" r="0" t="0"/>
            <wp:docPr descr="Figure 1: Example image" title="" id="1" name="Picture"/>
            <a:graphic>
              <a:graphicData uri="http://schemas.openxmlformats.org/drawingml/2006/picture">
                <pic:pic>
                  <pic:nvPicPr>
                    <pic:cNvPr descr="figures/mariecurie.jp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bookmarkEnd w:id="30"/>
    </w:p>
    <w:p>
      <w:pPr>
        <w:pStyle w:val="ImageCaption"/>
      </w:pPr>
      <w:r>
        <w:t xml:space="preserve">Figure 1: Example image</w:t>
      </w:r>
    </w:p>
    <w:p>
      <w:pPr>
        <w:pStyle w:val="BodyText"/>
      </w:pPr>
      <w:r>
        <w:t xml:space="preserve">Put equations.</w:t>
      </w:r>
    </w:p>
    <w:p>
      <w:pPr>
        <w:pStyle w:val="BodyText"/>
      </w:pPr>
      <w:bookmarkStart w:id="31" w:name="eq:eq100"/>
      <m:oMathPara>
        <m:oMathParaPr>
          <m:jc m:val="center"/>
        </m:oMathParaPr>
        <m:oMath>
          <m:r>
            <m:t>E</m:t>
          </m:r>
          <m:r>
            <m:rPr>
              <m:sty m:val="p"/>
            </m:rPr>
            <m:t>=</m:t>
          </m:r>
          <m:r>
            <m:t>m</m:t>
          </m:r>
          <m:sSup>
            <m:e>
              <m:r>
                <m:t>c</m:t>
              </m:r>
            </m:e>
            <m:sup>
              <m:r>
                <m:t>2</m:t>
              </m:r>
            </m:sup>
          </m:sSup>
          <m:r>
            <m:t>  </m:t>
          </m:r>
          <m:r>
            <m:rPr>
              <m:sty m:val="p"/>
            </m:rPr>
            <m:t>(</m:t>
          </m:r>
          <m:r>
            <m:t>3</m:t>
          </m:r>
          <m:r>
            <m:rPr>
              <m:sty m:val="p"/>
            </m:rPr>
            <m:t>)</m:t>
          </m:r>
        </m:oMath>
      </m:oMathPara>
      <w:bookmarkEnd w:id="31"/>
    </w:p>
    <w:p>
      <w:pPr>
        <w:pStyle w:val="FirstParagraph"/>
      </w:pPr>
      <w:r>
        <w:t xml:space="preserve">eq. </w:t>
      </w:r>
      <w:r>
        <w:rPr>
          <w:bCs/>
          <w:b/>
        </w:rPr>
        <w:t xml:space="preserve">¿eq:eq1?</w:t>
      </w:r>
      <w:r>
        <w:t xml:space="preserve"> </w:t>
      </w:r>
      <w:r>
        <w:t xml:space="preserve">governs the evolution of something.</w:t>
      </w:r>
    </w:p>
    <w:bookmarkEnd w:id="32"/>
    <w:bookmarkStart w:id="39" w:name="conclusion"/>
    <w:p>
      <w:pPr>
        <w:pStyle w:val="Heading2"/>
      </w:pPr>
      <w:r>
        <w:t xml:space="preserve">Conclusion</w:t>
      </w:r>
    </w:p>
    <w:p>
      <w:pPr>
        <w:pStyle w:val="FirstParagraph"/>
      </w:pPr>
      <w:r>
        <w:t xml:space="preserve">Conclusions here.</w:t>
      </w:r>
    </w:p>
    <w:bookmarkStart w:id="33" w:name="acknowlegements"/>
    <w:p>
      <w:pPr>
        <w:pStyle w:val="Heading3"/>
      </w:pPr>
      <w:r>
        <w:t xml:space="preserve">Acknowlegements</w:t>
      </w:r>
    </w:p>
    <w:p>
      <w:pPr>
        <w:pStyle w:val="FirstParagraph"/>
      </w:pPr>
      <w:r>
        <w:t xml:space="preserve">Thank you.</w:t>
      </w:r>
    </w:p>
    <w:bookmarkEnd w:id="33"/>
    <w:bookmarkStart w:id="38" w:name="reference"/>
    <w:p>
      <w:pPr>
        <w:pStyle w:val="Heading3"/>
      </w:pPr>
      <w:r>
        <w:t xml:space="preserve">Reference</w:t>
      </w:r>
    </w:p>
    <w:p>
      <w:pPr>
        <w:pStyle w:val="FirstParagraph"/>
      </w:pPr>
      <w:r>
        <w:t xml:space="preserve">s</w:t>
      </w:r>
    </w:p>
    <w:bookmarkStart w:id="37" w:name="refs"/>
    <w:bookmarkStart w:id="34" w:name="ref-Dershowitz1984"/>
    <w:p>
      <w:pPr>
        <w:pStyle w:val="Bibliography"/>
      </w:pPr>
      <w:r>
        <w:t xml:space="preserve">Dershowitz WS (1985) Rock</w:t>
      </w:r>
      <w:r>
        <w:t xml:space="preserve"> </w:t>
      </w:r>
      <w:r>
        <w:t xml:space="preserve">J</w:t>
      </w:r>
      <w:r>
        <w:t xml:space="preserve">oint</w:t>
      </w:r>
      <w:r>
        <w:t xml:space="preserve"> </w:t>
      </w:r>
      <w:r>
        <w:t xml:space="preserve">S</w:t>
      </w:r>
      <w:r>
        <w:t xml:space="preserve">ystems. PhD thesis, Massachusetts Institute of Technology</w:t>
      </w:r>
    </w:p>
    <w:bookmarkEnd w:id="34"/>
    <w:bookmarkStart w:id="36" w:name="ref-Park2015"/>
    <w:p>
      <w:pPr>
        <w:pStyle w:val="Bibliography"/>
      </w:pPr>
      <w:r>
        <w:t xml:space="preserve">Park EG, You JH, Lee HJ (2015)</w:t>
      </w:r>
      <w:r>
        <w:t xml:space="preserve"> </w:t>
      </w:r>
      <w:r>
        <w:t xml:space="preserve">The Planning and Design of Urban Streams Based on 3D Terrain Modelling</w:t>
      </w:r>
      <w:r>
        <w:t xml:space="preserve">. Journal of Korean Society for Geospatial Information System 23:59–67.</w:t>
      </w:r>
      <w:r>
        <w:t xml:space="preserve"> </w:t>
      </w:r>
      <w:hyperlink r:id="rId35">
        <w:r>
          <w:rPr>
            <w:rStyle w:val="Hyperlink"/>
          </w:rPr>
          <w:t xml:space="preserve">https://doi.org/10.7319/kogsis.2015.23.2.059</w:t>
        </w:r>
      </w:hyperlink>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hyperlink" Id="rId35" Target="https://doi.org/10.7319/kogsis.2015.23.2.059" TargetMode="External" /><Relationship Type="http://schemas.openxmlformats.org/officeDocument/2006/relationships/hyperlink" Id="rId20" Target="mailto:bjung@kigam.re.kr"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7319/kogsis.2015.23.2.059" TargetMode="External" /><Relationship Type="http://schemas.openxmlformats.org/officeDocument/2006/relationships/hyperlink" Id="rId20" Target="mailto:bjung@kigam.re.k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DFN Model for KIGAM HLWD Project</dc:title>
  <dc:creator>B. Jung1,✉</dc:creator>
  <cp:keywords/>
  <dcterms:created xsi:type="dcterms:W3CDTF">2021-05-06T07:11:33Z</dcterms:created>
  <dcterms:modified xsi:type="dcterms:W3CDTF">2021-05-06T07:11:33Z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./template/springer-basic-author-date.csl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True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hort_title">
    <vt:lpwstr>DFN Model for HLWD (2021)</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version">
    <vt:lpwstr>1</vt:lpwstr>
  </property>
</Properties>
</file>