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4E5B" w:rsidRDefault="00D34E5B" w:rsidP="00D34E5B">
      <w:pPr>
        <w:pStyle w:val="NormalWeb"/>
        <w:rPr>
          <w:rFonts w:ascii="CMR12" w:hAnsi="CMR12"/>
          <w:lang w:val="en-US"/>
        </w:rPr>
      </w:pPr>
      <w:proofErr w:type="spellStart"/>
      <w:r w:rsidRPr="00D34E5B">
        <w:rPr>
          <w:rFonts w:ascii="CMR12" w:hAnsi="CMR12"/>
          <w:lang w:val="en-US"/>
        </w:rPr>
        <w:t>X.Wang</w:t>
      </w:r>
      <w:proofErr w:type="spellEnd"/>
      <w:r w:rsidRPr="00D34E5B">
        <w:rPr>
          <w:rFonts w:ascii="CMR12" w:hAnsi="CMR12"/>
          <w:lang w:val="en-US"/>
        </w:rPr>
        <w:t xml:space="preserve">, </w:t>
      </w:r>
      <w:proofErr w:type="spellStart"/>
      <w:proofErr w:type="gramStart"/>
      <w:r w:rsidRPr="00D34E5B">
        <w:rPr>
          <w:rFonts w:ascii="CMR12" w:hAnsi="CMR12"/>
          <w:lang w:val="en-US"/>
        </w:rPr>
        <w:t>A.Smith</w:t>
      </w:r>
      <w:proofErr w:type="spellEnd"/>
      <w:proofErr w:type="gramEnd"/>
      <w:r w:rsidRPr="00D34E5B">
        <w:rPr>
          <w:rFonts w:ascii="CMR12" w:hAnsi="CMR12"/>
          <w:lang w:val="en-US"/>
        </w:rPr>
        <w:t xml:space="preserve">, </w:t>
      </w:r>
      <w:proofErr w:type="spellStart"/>
      <w:r w:rsidRPr="00D34E5B">
        <w:rPr>
          <w:rFonts w:ascii="CMR12" w:hAnsi="CMR12"/>
          <w:lang w:val="en-US"/>
        </w:rPr>
        <w:t>R.Hyndman</w:t>
      </w:r>
      <w:proofErr w:type="spellEnd"/>
      <w:r w:rsidRPr="00D34E5B">
        <w:rPr>
          <w:rFonts w:ascii="CMR12" w:hAnsi="CMR12"/>
          <w:lang w:val="en-US"/>
        </w:rPr>
        <w:t xml:space="preserve">. “Dimension Reduction for Clustering Time Series Using </w:t>
      </w:r>
      <w:proofErr w:type="spellStart"/>
      <w:r w:rsidRPr="00D34E5B">
        <w:rPr>
          <w:rFonts w:ascii="CMR12" w:hAnsi="CMR12"/>
          <w:lang w:val="en-US"/>
        </w:rPr>
        <w:t>Globl</w:t>
      </w:r>
      <w:proofErr w:type="spellEnd"/>
      <w:r w:rsidRPr="00D34E5B">
        <w:rPr>
          <w:rFonts w:ascii="CMR12" w:hAnsi="CMR12"/>
          <w:lang w:val="en-US"/>
        </w:rPr>
        <w:t xml:space="preserve"> Characteristics”. In: </w:t>
      </w:r>
      <w:r w:rsidRPr="00D34E5B">
        <w:rPr>
          <w:rFonts w:ascii="CMTI12" w:hAnsi="CMTI12"/>
          <w:lang w:val="en-US"/>
        </w:rPr>
        <w:t xml:space="preserve">Springer </w:t>
      </w:r>
      <w:r w:rsidRPr="00D34E5B">
        <w:rPr>
          <w:rFonts w:ascii="CMR12" w:hAnsi="CMR12"/>
          <w:lang w:val="en-US"/>
        </w:rPr>
        <w:t>(2005).</w:t>
      </w:r>
    </w:p>
    <w:p w:rsidR="00D34E5B" w:rsidRPr="00D34E5B" w:rsidRDefault="00D34E5B" w:rsidP="00D34E5B">
      <w:pPr>
        <w:pStyle w:val="NormalWeb"/>
        <w:rPr>
          <w:lang w:val="en-US"/>
        </w:rPr>
      </w:pPr>
      <w:r w:rsidRPr="00D34E5B">
        <w:rPr>
          <w:rFonts w:ascii="CMR12" w:hAnsi="CMR12"/>
          <w:lang w:val="en-US"/>
        </w:rPr>
        <w:br/>
      </w:r>
      <w:proofErr w:type="spellStart"/>
      <w:proofErr w:type="gramStart"/>
      <w:r w:rsidRPr="00D34E5B">
        <w:rPr>
          <w:rFonts w:ascii="CMR12" w:hAnsi="CMR12"/>
          <w:lang w:val="en-US"/>
        </w:rPr>
        <w:t>T.Alexandrov</w:t>
      </w:r>
      <w:proofErr w:type="spellEnd"/>
      <w:proofErr w:type="gramEnd"/>
      <w:r w:rsidRPr="00D34E5B">
        <w:rPr>
          <w:rFonts w:ascii="CMR12" w:hAnsi="CMR12"/>
          <w:lang w:val="en-US"/>
        </w:rPr>
        <w:t xml:space="preserve">. “A Method of trend extraction using singular spectrum analysis”. In: </w:t>
      </w:r>
      <w:r w:rsidRPr="00D34E5B">
        <w:rPr>
          <w:rFonts w:ascii="CMTI12" w:hAnsi="CMTI12"/>
          <w:lang w:val="en-US"/>
        </w:rPr>
        <w:t xml:space="preserve">Statistical Journal </w:t>
      </w:r>
      <w:r w:rsidRPr="00D34E5B">
        <w:rPr>
          <w:rFonts w:ascii="CMR12" w:hAnsi="CMR12"/>
          <w:lang w:val="en-US"/>
        </w:rPr>
        <w:t xml:space="preserve">7.1 (2009), pp. 1–22. </w:t>
      </w:r>
    </w:p>
    <w:p w:rsidR="00D34E5B" w:rsidRDefault="00D34E5B" w:rsidP="00D34E5B">
      <w:pPr>
        <w:pStyle w:val="NormalWeb"/>
        <w:rPr>
          <w:rFonts w:ascii="CMR12" w:hAnsi="CMR12"/>
          <w:lang w:val="en-US"/>
        </w:rPr>
      </w:pPr>
      <w:proofErr w:type="spellStart"/>
      <w:r w:rsidRPr="00D34E5B">
        <w:rPr>
          <w:rFonts w:ascii="CMR12" w:hAnsi="CMR12"/>
          <w:lang w:val="en-US"/>
        </w:rPr>
        <w:t>Bruder</w:t>
      </w:r>
      <w:proofErr w:type="spellEnd"/>
      <w:r w:rsidRPr="00D34E5B">
        <w:rPr>
          <w:rFonts w:ascii="CMR12" w:hAnsi="CMR12"/>
          <w:lang w:val="en-US"/>
        </w:rPr>
        <w:t xml:space="preserve">, Dao, Richard and Roncalli. “Trend Filtering Methods for Momentum Strategies: </w:t>
      </w:r>
      <w:proofErr w:type="spellStart"/>
      <w:r w:rsidRPr="00D34E5B">
        <w:rPr>
          <w:rFonts w:ascii="CMR12" w:hAnsi="CMR12"/>
          <w:lang w:val="en-US"/>
        </w:rPr>
        <w:t>Lyxor</w:t>
      </w:r>
      <w:proofErr w:type="spellEnd"/>
      <w:r w:rsidRPr="00D34E5B">
        <w:rPr>
          <w:rFonts w:ascii="CMR12" w:hAnsi="CMR12"/>
          <w:lang w:val="en-US"/>
        </w:rPr>
        <w:t xml:space="preserve"> Asset Management”. In: (2011).</w:t>
      </w:r>
    </w:p>
    <w:p w:rsidR="00D34E5B" w:rsidRPr="00D34E5B" w:rsidRDefault="00D34E5B" w:rsidP="00D34E5B">
      <w:pPr>
        <w:pStyle w:val="NormalWeb"/>
        <w:rPr>
          <w:lang w:val="en-US"/>
        </w:rPr>
      </w:pPr>
      <w:r w:rsidRPr="00D34E5B">
        <w:rPr>
          <w:rFonts w:ascii="CMR12" w:hAnsi="CMR12"/>
          <w:lang w:val="en-US"/>
        </w:rPr>
        <w:br/>
      </w:r>
      <w:proofErr w:type="spellStart"/>
      <w:r w:rsidRPr="00D34E5B">
        <w:rPr>
          <w:rFonts w:ascii="CMR12" w:hAnsi="CMR12"/>
          <w:lang w:val="en-US"/>
        </w:rPr>
        <w:t>Ooi</w:t>
      </w:r>
      <w:proofErr w:type="spellEnd"/>
      <w:r w:rsidRPr="00D34E5B">
        <w:rPr>
          <w:rFonts w:ascii="CMR12" w:hAnsi="CMR12"/>
          <w:lang w:val="en-US"/>
        </w:rPr>
        <w:t xml:space="preserve"> Moskowitz and Pedersen. “Time series momentum”. In: </w:t>
      </w:r>
      <w:r w:rsidRPr="00D34E5B">
        <w:rPr>
          <w:rFonts w:ascii="CMTI12" w:hAnsi="CMTI12"/>
          <w:lang w:val="en-US"/>
        </w:rPr>
        <w:t xml:space="preserve">Journal of financial Economics </w:t>
      </w:r>
      <w:r w:rsidRPr="00D34E5B">
        <w:rPr>
          <w:rFonts w:ascii="CMR12" w:hAnsi="CMR12"/>
          <w:lang w:val="en-US"/>
        </w:rPr>
        <w:t xml:space="preserve">104 (2012), pp. 228–250. </w:t>
      </w:r>
      <w:proofErr w:type="spellStart"/>
      <w:r w:rsidRPr="00D34E5B">
        <w:rPr>
          <w:rFonts w:ascii="CMCSC10" w:hAnsi="CMCSC10"/>
          <w:lang w:val="en-US"/>
        </w:rPr>
        <w:t>doi</w:t>
      </w:r>
      <w:proofErr w:type="spellEnd"/>
      <w:r w:rsidRPr="00D34E5B">
        <w:rPr>
          <w:rFonts w:ascii="CMR12" w:hAnsi="CMR12"/>
          <w:lang w:val="en-US"/>
        </w:rPr>
        <w:t xml:space="preserve">: </w:t>
      </w:r>
      <w:r w:rsidRPr="00D34E5B">
        <w:rPr>
          <w:rFonts w:ascii="CMSS12" w:hAnsi="CMSS12"/>
          <w:color w:val="0000FF"/>
          <w:lang w:val="en-US"/>
        </w:rPr>
        <w:t>10.1016/j.jfineco.2011.11.003</w:t>
      </w:r>
      <w:r w:rsidRPr="00D34E5B">
        <w:rPr>
          <w:rFonts w:ascii="CMR12" w:hAnsi="CMR12"/>
          <w:lang w:val="en-US"/>
        </w:rPr>
        <w:t xml:space="preserve">. </w:t>
      </w:r>
      <w:proofErr w:type="spellStart"/>
      <w:r w:rsidRPr="00D34E5B">
        <w:rPr>
          <w:rFonts w:ascii="CMCSC10" w:hAnsi="CMCSC10"/>
          <w:lang w:val="en-US"/>
        </w:rPr>
        <w:t>url</w:t>
      </w:r>
      <w:proofErr w:type="spellEnd"/>
      <w:r w:rsidRPr="00D34E5B">
        <w:rPr>
          <w:rFonts w:ascii="CMR12" w:hAnsi="CMR12"/>
          <w:lang w:val="en-US"/>
        </w:rPr>
        <w:t xml:space="preserve">: </w:t>
      </w:r>
      <w:proofErr w:type="gramStart"/>
      <w:r w:rsidRPr="00D34E5B">
        <w:rPr>
          <w:rFonts w:ascii="CMSS12" w:hAnsi="CMSS12"/>
          <w:color w:val="0000FF"/>
          <w:lang w:val="en-US"/>
        </w:rPr>
        <w:t>doi:10.1016/j.jfineco</w:t>
      </w:r>
      <w:proofErr w:type="gramEnd"/>
      <w:r w:rsidRPr="00D34E5B">
        <w:rPr>
          <w:rFonts w:ascii="CMSS12" w:hAnsi="CMSS12"/>
          <w:color w:val="0000FF"/>
          <w:lang w:val="en-US"/>
        </w:rPr>
        <w:t>.2011.11.003</w:t>
      </w:r>
      <w:r w:rsidRPr="00D34E5B">
        <w:rPr>
          <w:rFonts w:ascii="CMR12" w:hAnsi="CMR12"/>
          <w:lang w:val="en-US"/>
        </w:rPr>
        <w:t xml:space="preserve">. </w:t>
      </w:r>
    </w:p>
    <w:p w:rsidR="00D34E5B" w:rsidRDefault="00D34E5B" w:rsidP="00D34E5B">
      <w:pPr>
        <w:pStyle w:val="NormalWeb"/>
        <w:rPr>
          <w:rFonts w:ascii="CMR12" w:hAnsi="CMR12"/>
          <w:lang w:val="en-US"/>
        </w:rPr>
      </w:pPr>
      <w:proofErr w:type="spellStart"/>
      <w:r w:rsidRPr="00D34E5B">
        <w:rPr>
          <w:rFonts w:ascii="CMR12" w:hAnsi="CMR12"/>
          <w:lang w:val="en-US"/>
        </w:rPr>
        <w:t>Baltas</w:t>
      </w:r>
      <w:proofErr w:type="spellEnd"/>
      <w:r w:rsidRPr="00D34E5B">
        <w:rPr>
          <w:rFonts w:ascii="CMR12" w:hAnsi="CMR12"/>
          <w:lang w:val="en-US"/>
        </w:rPr>
        <w:t xml:space="preserve">. “Trend-Following, Risk-Parity and the Influence of Correlations”. In: </w:t>
      </w:r>
      <w:r w:rsidRPr="00D34E5B">
        <w:rPr>
          <w:rFonts w:ascii="CMTI12" w:hAnsi="CMTI12"/>
          <w:lang w:val="en-US"/>
        </w:rPr>
        <w:t xml:space="preserve">Risk Based and Factor Investing </w:t>
      </w:r>
      <w:r w:rsidRPr="00D34E5B">
        <w:rPr>
          <w:rFonts w:ascii="CMR12" w:hAnsi="CMR12"/>
          <w:lang w:val="en-US"/>
        </w:rPr>
        <w:t>(2015).</w:t>
      </w:r>
    </w:p>
    <w:p w:rsidR="00D34E5B" w:rsidRPr="00D34E5B" w:rsidRDefault="00D34E5B" w:rsidP="00D34E5B">
      <w:pPr>
        <w:pStyle w:val="NormalWeb"/>
        <w:rPr>
          <w:lang w:val="en-US"/>
        </w:rPr>
      </w:pPr>
      <w:r w:rsidRPr="00D34E5B">
        <w:rPr>
          <w:rFonts w:ascii="CMR12" w:hAnsi="CMR12"/>
          <w:lang w:val="en-US"/>
        </w:rPr>
        <w:br/>
        <w:t xml:space="preserve">Jamil Baz, Nick Granger, Campbell R. Harvey, Nicolas Le Roux and Sandy Rattray. </w:t>
      </w:r>
    </w:p>
    <w:p w:rsidR="00D34E5B" w:rsidRDefault="00D34E5B" w:rsidP="00D34E5B">
      <w:pPr>
        <w:pStyle w:val="NormalWeb"/>
        <w:rPr>
          <w:rFonts w:ascii="CMR12" w:hAnsi="CMR12"/>
          <w:lang w:val="en-US"/>
        </w:rPr>
      </w:pPr>
      <w:r w:rsidRPr="00D34E5B">
        <w:rPr>
          <w:rFonts w:ascii="CMR12" w:hAnsi="CMR12"/>
          <w:lang w:val="en-US"/>
        </w:rPr>
        <w:t xml:space="preserve">“Dissecting Investment Strategies in the Cross Section and Time Series.” In: (2015). </w:t>
      </w:r>
      <w:proofErr w:type="spellStart"/>
      <w:r w:rsidRPr="00D34E5B">
        <w:rPr>
          <w:rFonts w:ascii="CMCSC10" w:hAnsi="CMCSC10"/>
          <w:lang w:val="en-US"/>
        </w:rPr>
        <w:t>doi</w:t>
      </w:r>
      <w:proofErr w:type="spellEnd"/>
      <w:r w:rsidRPr="00D34E5B">
        <w:rPr>
          <w:rFonts w:ascii="CMR12" w:hAnsi="CMR12"/>
          <w:lang w:val="en-US"/>
        </w:rPr>
        <w:t xml:space="preserve">: </w:t>
      </w:r>
      <w:r w:rsidRPr="00D34E5B">
        <w:rPr>
          <w:rFonts w:ascii="CMSS12" w:hAnsi="CMSS12"/>
          <w:color w:val="0000FF"/>
          <w:lang w:val="en-US"/>
        </w:rPr>
        <w:t>10.2139/ssrn.2695101</w:t>
      </w:r>
      <w:r w:rsidRPr="00D34E5B">
        <w:rPr>
          <w:rFonts w:ascii="CMR12" w:hAnsi="CMR12"/>
          <w:lang w:val="en-US"/>
        </w:rPr>
        <w:t xml:space="preserve">. (Visited </w:t>
      </w:r>
      <w:proofErr w:type="gramStart"/>
      <w:r w:rsidRPr="00D34E5B">
        <w:rPr>
          <w:rFonts w:ascii="CMR12" w:hAnsi="CMR12"/>
          <w:lang w:val="en-US"/>
        </w:rPr>
        <w:t>on )</w:t>
      </w:r>
      <w:proofErr w:type="gramEnd"/>
      <w:r w:rsidRPr="00D34E5B">
        <w:rPr>
          <w:rFonts w:ascii="CMR12" w:hAnsi="CMR12"/>
          <w:lang w:val="en-US"/>
        </w:rPr>
        <w:t>.</w:t>
      </w:r>
    </w:p>
    <w:p w:rsidR="00D34E5B" w:rsidRPr="00D34E5B" w:rsidRDefault="00D34E5B" w:rsidP="00D34E5B">
      <w:pPr>
        <w:pStyle w:val="NormalWeb"/>
        <w:rPr>
          <w:lang w:val="en-US"/>
        </w:rPr>
      </w:pPr>
      <w:r w:rsidRPr="00D34E5B">
        <w:rPr>
          <w:rFonts w:ascii="CMR12" w:hAnsi="CMR12"/>
          <w:lang w:val="en-US"/>
        </w:rPr>
        <w:br/>
      </w:r>
      <w:proofErr w:type="spellStart"/>
      <w:r w:rsidRPr="00D34E5B">
        <w:rPr>
          <w:rFonts w:ascii="CMR12" w:hAnsi="CMR12"/>
          <w:lang w:val="en-US"/>
        </w:rPr>
        <w:t>Xiong</w:t>
      </w:r>
      <w:proofErr w:type="spellEnd"/>
      <w:r w:rsidRPr="00D34E5B">
        <w:rPr>
          <w:rFonts w:ascii="CMR12" w:hAnsi="CMR12"/>
          <w:lang w:val="en-US"/>
        </w:rPr>
        <w:t xml:space="preserve"> and Ibbotson. “</w:t>
      </w:r>
      <w:proofErr w:type="spellStart"/>
      <w:r w:rsidRPr="00D34E5B">
        <w:rPr>
          <w:rFonts w:ascii="CMR12" w:hAnsi="CMR12"/>
          <w:lang w:val="en-US"/>
        </w:rPr>
        <w:t>Momemtum</w:t>
      </w:r>
      <w:proofErr w:type="spellEnd"/>
      <w:r w:rsidRPr="00D34E5B">
        <w:rPr>
          <w:rFonts w:ascii="CMR12" w:hAnsi="CMR12"/>
          <w:lang w:val="en-US"/>
        </w:rPr>
        <w:t xml:space="preserve"> Acceleration and Reversal”. In: </w:t>
      </w:r>
      <w:r w:rsidRPr="00D34E5B">
        <w:rPr>
          <w:rFonts w:ascii="CMTI12" w:hAnsi="CMTI12"/>
          <w:lang w:val="en-US"/>
        </w:rPr>
        <w:t xml:space="preserve">Journal of Investment Management </w:t>
      </w:r>
      <w:r w:rsidRPr="00D34E5B">
        <w:rPr>
          <w:rFonts w:ascii="CMR12" w:hAnsi="CMR12"/>
          <w:lang w:val="en-US"/>
        </w:rPr>
        <w:t xml:space="preserve">13.1 (2015), pp. 84–95. </w:t>
      </w:r>
    </w:p>
    <w:p w:rsidR="00D34E5B" w:rsidRDefault="00D34E5B" w:rsidP="00D34E5B">
      <w:pPr>
        <w:pStyle w:val="NormalWeb"/>
        <w:rPr>
          <w:rFonts w:ascii="CMR12" w:hAnsi="CMR12"/>
          <w:lang w:val="en-US"/>
        </w:rPr>
      </w:pPr>
      <w:r w:rsidRPr="00D34E5B">
        <w:rPr>
          <w:rFonts w:ascii="CMR12" w:hAnsi="CMR12"/>
          <w:lang w:val="en-US"/>
        </w:rPr>
        <w:t xml:space="preserve">Daniel and Moskowitz. “Momentum </w:t>
      </w:r>
      <w:proofErr w:type="spellStart"/>
      <w:r w:rsidRPr="00D34E5B">
        <w:rPr>
          <w:rFonts w:ascii="CMR12" w:hAnsi="CMR12"/>
          <w:lang w:val="en-US"/>
        </w:rPr>
        <w:t>Crahses</w:t>
      </w:r>
      <w:proofErr w:type="spellEnd"/>
      <w:r w:rsidRPr="00D34E5B">
        <w:rPr>
          <w:rFonts w:ascii="CMR12" w:hAnsi="CMR12"/>
          <w:lang w:val="en-US"/>
        </w:rPr>
        <w:t xml:space="preserve">”. In: </w:t>
      </w:r>
      <w:r w:rsidRPr="00D34E5B">
        <w:rPr>
          <w:rFonts w:ascii="CMTI12" w:hAnsi="CMTI12"/>
          <w:lang w:val="en-US"/>
        </w:rPr>
        <w:t xml:space="preserve">Journal of financial Economics </w:t>
      </w:r>
      <w:r w:rsidRPr="00D34E5B">
        <w:rPr>
          <w:rFonts w:ascii="CMR12" w:hAnsi="CMR12"/>
          <w:lang w:val="en-US"/>
        </w:rPr>
        <w:t xml:space="preserve">122 (2016), pp. 221–247. </w:t>
      </w:r>
      <w:proofErr w:type="spellStart"/>
      <w:r w:rsidRPr="00D34E5B">
        <w:rPr>
          <w:rFonts w:ascii="CMCSC10" w:hAnsi="CMCSC10"/>
          <w:lang w:val="en-US"/>
        </w:rPr>
        <w:t>doi</w:t>
      </w:r>
      <w:proofErr w:type="spellEnd"/>
      <w:r w:rsidRPr="00D34E5B">
        <w:rPr>
          <w:rFonts w:ascii="CMR12" w:hAnsi="CMR12"/>
          <w:lang w:val="en-US"/>
        </w:rPr>
        <w:t xml:space="preserve">: </w:t>
      </w:r>
      <w:r w:rsidRPr="00D34E5B">
        <w:rPr>
          <w:rFonts w:ascii="CMSS12" w:hAnsi="CMSS12"/>
          <w:color w:val="0000FF"/>
          <w:lang w:val="en-US"/>
        </w:rPr>
        <w:t>10.1016/j.jfineco.2015.12.002</w:t>
      </w:r>
      <w:r w:rsidRPr="00D34E5B">
        <w:rPr>
          <w:rFonts w:ascii="CMR12" w:hAnsi="CMR12"/>
          <w:lang w:val="en-US"/>
        </w:rPr>
        <w:t>.</w:t>
      </w:r>
    </w:p>
    <w:p w:rsidR="00D34E5B" w:rsidRPr="00D34E5B" w:rsidRDefault="00D34E5B" w:rsidP="00D34E5B">
      <w:pPr>
        <w:pStyle w:val="NormalWeb"/>
        <w:rPr>
          <w:lang w:val="en-US"/>
        </w:rPr>
      </w:pPr>
      <w:r w:rsidRPr="00D34E5B">
        <w:rPr>
          <w:rFonts w:ascii="CMR12" w:hAnsi="CMR12"/>
          <w:lang w:val="en-US"/>
        </w:rPr>
        <w:br/>
        <w:t xml:space="preserve">Levine and Pedersen. “Which Trend Is Your Friend?” In: </w:t>
      </w:r>
      <w:r w:rsidRPr="00D34E5B">
        <w:rPr>
          <w:rFonts w:ascii="CMTI12" w:hAnsi="CMTI12"/>
          <w:lang w:val="en-US"/>
        </w:rPr>
        <w:t xml:space="preserve">Financial Analyst Journal </w:t>
      </w:r>
      <w:r w:rsidRPr="00D34E5B">
        <w:rPr>
          <w:rFonts w:ascii="CMR12" w:hAnsi="CMR12"/>
          <w:lang w:val="en-US"/>
        </w:rPr>
        <w:t xml:space="preserve">72.3 (2016), pp. 51–66. </w:t>
      </w:r>
    </w:p>
    <w:p w:rsidR="00D34E5B" w:rsidRDefault="00D34E5B" w:rsidP="00D34E5B">
      <w:pPr>
        <w:pStyle w:val="NormalWeb"/>
        <w:rPr>
          <w:rFonts w:ascii="CMR12" w:hAnsi="CMR12"/>
          <w:lang w:val="en-US"/>
        </w:rPr>
      </w:pPr>
      <w:r w:rsidRPr="00D34E5B">
        <w:rPr>
          <w:rFonts w:ascii="CMR12" w:hAnsi="CMR12"/>
          <w:lang w:val="en-US"/>
        </w:rPr>
        <w:t xml:space="preserve">Yu and Webb. “CAN FUNDAMENTAL FACTORS ENHANCE THE PERFORMANCE OF TRADITIONAL MOMENTUM STRATEGIES?” In: </w:t>
      </w:r>
      <w:r w:rsidRPr="00D34E5B">
        <w:rPr>
          <w:rFonts w:ascii="CMTI12" w:hAnsi="CMTI12"/>
          <w:lang w:val="en-US"/>
        </w:rPr>
        <w:t xml:space="preserve">Journal of Investment Management </w:t>
      </w:r>
      <w:r w:rsidRPr="00D34E5B">
        <w:rPr>
          <w:rFonts w:ascii="CMR12" w:hAnsi="CMR12"/>
          <w:lang w:val="en-US"/>
        </w:rPr>
        <w:t>14.4 (2016), pp. 28–43.</w:t>
      </w:r>
    </w:p>
    <w:p w:rsidR="00D34E5B" w:rsidRDefault="00D34E5B" w:rsidP="00D34E5B">
      <w:pPr>
        <w:pStyle w:val="NormalWeb"/>
        <w:rPr>
          <w:rFonts w:ascii="CMR12" w:hAnsi="CMR12"/>
          <w:lang w:val="en-US"/>
        </w:rPr>
      </w:pPr>
      <w:r w:rsidRPr="00D34E5B">
        <w:rPr>
          <w:rFonts w:ascii="CMR12" w:hAnsi="CMR12"/>
          <w:lang w:val="en-US"/>
        </w:rPr>
        <w:br/>
        <w:t xml:space="preserve">Federico </w:t>
      </w:r>
      <w:proofErr w:type="spellStart"/>
      <w:r w:rsidRPr="00D34E5B">
        <w:rPr>
          <w:rFonts w:ascii="CMR12" w:hAnsi="CMR12"/>
          <w:lang w:val="en-US"/>
        </w:rPr>
        <w:t>Nucera</w:t>
      </w:r>
      <w:proofErr w:type="spellEnd"/>
      <w:r w:rsidRPr="00D34E5B">
        <w:rPr>
          <w:rFonts w:ascii="CMR12" w:hAnsi="CMR12"/>
          <w:lang w:val="en-US"/>
        </w:rPr>
        <w:t>. “Risk-Managed Momentum: The effect of leverage constraints”. In:</w:t>
      </w:r>
      <w:r>
        <w:rPr>
          <w:rFonts w:ascii="CMR12" w:hAnsi="CMR12"/>
          <w:lang w:val="en-US"/>
        </w:rPr>
        <w:t xml:space="preserve"> </w:t>
      </w:r>
      <w:r w:rsidRPr="00D34E5B">
        <w:rPr>
          <w:rFonts w:ascii="CMR12" w:hAnsi="CMR12"/>
          <w:lang w:val="en-US"/>
        </w:rPr>
        <w:t xml:space="preserve">(2017). </w:t>
      </w:r>
      <w:r w:rsidRPr="00D34E5B">
        <w:rPr>
          <w:rFonts w:ascii="CMCSC10" w:hAnsi="CMCSC10"/>
          <w:lang w:val="en-US"/>
        </w:rPr>
        <w:t>url</w:t>
      </w:r>
      <w:r w:rsidRPr="00D34E5B">
        <w:rPr>
          <w:rFonts w:ascii="CMR12" w:hAnsi="CMR12"/>
          <w:lang w:val="en-US"/>
        </w:rPr>
        <w:t xml:space="preserve">: </w:t>
      </w:r>
      <w:hyperlink r:id="rId4" w:history="1">
        <w:r w:rsidRPr="00353C97">
          <w:rPr>
            <w:rStyle w:val="Lienhypertexte"/>
            <w:rFonts w:ascii="CMSS12" w:hAnsi="CMSS12"/>
            <w:lang w:val="en-US"/>
          </w:rPr>
          <w:t>https://ssrn.com/abstract=3008530</w:t>
        </w:r>
      </w:hyperlink>
      <w:r w:rsidRPr="00D34E5B">
        <w:rPr>
          <w:rFonts w:ascii="CMR12" w:hAnsi="CMR12"/>
          <w:lang w:val="en-US"/>
        </w:rPr>
        <w:t>.</w:t>
      </w:r>
    </w:p>
    <w:p w:rsidR="00D34E5B" w:rsidRDefault="00D34E5B" w:rsidP="00D34E5B">
      <w:pPr>
        <w:pStyle w:val="NormalWeb"/>
        <w:rPr>
          <w:rFonts w:ascii="CMR12" w:hAnsi="CMR12"/>
          <w:lang w:val="en-US"/>
        </w:rPr>
      </w:pPr>
      <w:r w:rsidRPr="00D34E5B">
        <w:rPr>
          <w:rFonts w:ascii="CMR12" w:hAnsi="CMR12"/>
          <w:lang w:val="en-US"/>
        </w:rPr>
        <w:br/>
      </w:r>
      <w:proofErr w:type="spellStart"/>
      <w:r w:rsidRPr="00D34E5B">
        <w:rPr>
          <w:rFonts w:ascii="CMR12" w:hAnsi="CMR12"/>
          <w:lang w:val="en-US"/>
        </w:rPr>
        <w:t>Baltas</w:t>
      </w:r>
      <w:proofErr w:type="spellEnd"/>
      <w:r w:rsidRPr="00D34E5B">
        <w:rPr>
          <w:rFonts w:ascii="CMR12" w:hAnsi="CMR12"/>
          <w:lang w:val="en-US"/>
        </w:rPr>
        <w:t xml:space="preserve"> and </w:t>
      </w:r>
      <w:proofErr w:type="spellStart"/>
      <w:r w:rsidRPr="00D34E5B">
        <w:rPr>
          <w:rFonts w:ascii="CMR12" w:hAnsi="CMR12"/>
          <w:lang w:val="en-US"/>
        </w:rPr>
        <w:t>Kosowski</w:t>
      </w:r>
      <w:proofErr w:type="spellEnd"/>
      <w:r w:rsidRPr="00D34E5B">
        <w:rPr>
          <w:rFonts w:ascii="CMR12" w:hAnsi="CMR12"/>
          <w:lang w:val="en-US"/>
        </w:rPr>
        <w:t xml:space="preserve">. “Demystifying Time-series Momentum Strategies: Volatility Estimators, Trading Rules and Pairwise Correlations”. In: </w:t>
      </w:r>
      <w:r w:rsidRPr="00D34E5B">
        <w:rPr>
          <w:rFonts w:ascii="CMTI12" w:hAnsi="CMTI12"/>
          <w:lang w:val="en-US"/>
        </w:rPr>
        <w:t>SSRN Electronic Journal</w:t>
      </w:r>
      <w:r>
        <w:rPr>
          <w:rFonts w:ascii="CMTI12" w:hAnsi="CMTI12"/>
          <w:lang w:val="en-US"/>
        </w:rPr>
        <w:t xml:space="preserve"> </w:t>
      </w:r>
      <w:r w:rsidRPr="00D34E5B">
        <w:rPr>
          <w:rFonts w:ascii="CMR12" w:hAnsi="CMR12"/>
          <w:lang w:val="en-US"/>
        </w:rPr>
        <w:t xml:space="preserve">(2019). </w:t>
      </w:r>
      <w:proofErr w:type="spellStart"/>
      <w:r w:rsidRPr="00D34E5B">
        <w:rPr>
          <w:rFonts w:ascii="CMCSC10" w:hAnsi="CMCSC10"/>
          <w:lang w:val="en-US"/>
        </w:rPr>
        <w:t>doi</w:t>
      </w:r>
      <w:proofErr w:type="spellEnd"/>
      <w:r w:rsidRPr="00D34E5B">
        <w:rPr>
          <w:rFonts w:ascii="CMR12" w:hAnsi="CMR12"/>
          <w:lang w:val="en-US"/>
        </w:rPr>
        <w:t xml:space="preserve">: </w:t>
      </w:r>
      <w:r w:rsidRPr="00D34E5B">
        <w:rPr>
          <w:rFonts w:ascii="CMSS12" w:hAnsi="CMSS12"/>
          <w:color w:val="0000FF"/>
          <w:lang w:val="en-US"/>
        </w:rPr>
        <w:t>10.2139/ssrn.2140091</w:t>
      </w:r>
      <w:r w:rsidRPr="00D34E5B">
        <w:rPr>
          <w:rFonts w:ascii="CMR12" w:hAnsi="CMR12"/>
          <w:lang w:val="en-US"/>
        </w:rPr>
        <w:t xml:space="preserve">. </w:t>
      </w:r>
      <w:r w:rsidRPr="00D34E5B">
        <w:rPr>
          <w:rFonts w:ascii="CMCSC10" w:hAnsi="CMCSC10"/>
          <w:lang w:val="en-US"/>
        </w:rPr>
        <w:t>url</w:t>
      </w:r>
      <w:r w:rsidRPr="00D34E5B">
        <w:rPr>
          <w:rFonts w:ascii="CMR12" w:hAnsi="CMR12"/>
          <w:lang w:val="en-US"/>
        </w:rPr>
        <w:t xml:space="preserve">: </w:t>
      </w:r>
      <w:hyperlink r:id="rId5" w:history="1">
        <w:r w:rsidRPr="00353C97">
          <w:rPr>
            <w:rStyle w:val="Lienhypertexte"/>
            <w:rFonts w:ascii="CMSS12" w:hAnsi="CMSS12"/>
            <w:lang w:val="en-US"/>
          </w:rPr>
          <w:t>https://ssrn.com/abstract=2140091</w:t>
        </w:r>
      </w:hyperlink>
      <w:r w:rsidRPr="00D34E5B">
        <w:rPr>
          <w:rFonts w:ascii="CMR12" w:hAnsi="CMR12"/>
          <w:lang w:val="en-US"/>
        </w:rPr>
        <w:t>.</w:t>
      </w:r>
    </w:p>
    <w:p w:rsidR="00D34E5B" w:rsidRDefault="00D34E5B" w:rsidP="00D34E5B">
      <w:pPr>
        <w:pStyle w:val="NormalWeb"/>
        <w:rPr>
          <w:rFonts w:ascii="CMR12" w:hAnsi="CMR12"/>
          <w:lang w:val="en-US"/>
        </w:rPr>
      </w:pPr>
      <w:r w:rsidRPr="00D34E5B">
        <w:rPr>
          <w:rFonts w:ascii="CMR12" w:hAnsi="CMR12"/>
          <w:lang w:val="en-US"/>
        </w:rPr>
        <w:lastRenderedPageBreak/>
        <w:br/>
        <w:t xml:space="preserve">Michal </w:t>
      </w:r>
      <w:proofErr w:type="spellStart"/>
      <w:r w:rsidRPr="00D34E5B">
        <w:rPr>
          <w:rFonts w:ascii="CMR12" w:hAnsi="CMR12"/>
          <w:lang w:val="en-US"/>
        </w:rPr>
        <w:t>Balcerak</w:t>
      </w:r>
      <w:proofErr w:type="spellEnd"/>
      <w:r w:rsidRPr="00D34E5B">
        <w:rPr>
          <w:rFonts w:ascii="CMR12" w:hAnsi="CMR12"/>
          <w:lang w:val="en-US"/>
        </w:rPr>
        <w:t xml:space="preserve"> and Thomas </w:t>
      </w:r>
      <w:proofErr w:type="spellStart"/>
      <w:r w:rsidRPr="00D34E5B">
        <w:rPr>
          <w:rFonts w:ascii="CMR12" w:hAnsi="CMR12"/>
          <w:lang w:val="en-US"/>
        </w:rPr>
        <w:t>Schmelzer</w:t>
      </w:r>
      <w:proofErr w:type="spellEnd"/>
      <w:r w:rsidRPr="00D34E5B">
        <w:rPr>
          <w:rFonts w:ascii="CMR12" w:hAnsi="CMR12"/>
          <w:lang w:val="en-US"/>
        </w:rPr>
        <w:t xml:space="preserve">. “Constructing trading strategy ensembles by classifying market states”. In: (2020). </w:t>
      </w:r>
      <w:proofErr w:type="spellStart"/>
      <w:r w:rsidRPr="00D34E5B">
        <w:rPr>
          <w:rFonts w:ascii="CMR12" w:hAnsi="CMR12"/>
          <w:lang w:val="en-US"/>
        </w:rPr>
        <w:t>arXiv</w:t>
      </w:r>
      <w:proofErr w:type="spellEnd"/>
      <w:r w:rsidRPr="00D34E5B">
        <w:rPr>
          <w:rFonts w:ascii="CMR12" w:hAnsi="CMR12"/>
          <w:lang w:val="en-US"/>
        </w:rPr>
        <w:t xml:space="preserve">: </w:t>
      </w:r>
      <w:r w:rsidRPr="00D34E5B">
        <w:rPr>
          <w:rFonts w:ascii="CMSS12" w:hAnsi="CMSS12"/>
          <w:color w:val="0000FF"/>
          <w:lang w:val="en-US"/>
        </w:rPr>
        <w:t xml:space="preserve">2012.03078 </w:t>
      </w:r>
      <w:r w:rsidRPr="00D34E5B">
        <w:rPr>
          <w:rFonts w:ascii="CMTT12" w:hAnsi="CMTT12"/>
          <w:color w:val="0000FF"/>
          <w:lang w:val="en-US"/>
        </w:rPr>
        <w:t>[q-fin.TR]</w:t>
      </w:r>
      <w:r w:rsidRPr="00D34E5B">
        <w:rPr>
          <w:rFonts w:ascii="CMR12" w:hAnsi="CMR12"/>
          <w:lang w:val="en-US"/>
        </w:rPr>
        <w:t xml:space="preserve">. </w:t>
      </w:r>
    </w:p>
    <w:p w:rsidR="00D34E5B" w:rsidRDefault="00D34E5B" w:rsidP="00D34E5B">
      <w:pPr>
        <w:pStyle w:val="NormalWeb"/>
        <w:rPr>
          <w:rFonts w:ascii="CMR12" w:hAnsi="CMR12"/>
          <w:lang w:val="en-US"/>
        </w:rPr>
      </w:pPr>
      <w:proofErr w:type="spellStart"/>
      <w:r w:rsidRPr="00D34E5B">
        <w:rPr>
          <w:rFonts w:ascii="CMR12" w:hAnsi="CMR12"/>
          <w:lang w:val="en-US"/>
        </w:rPr>
        <w:t>Antonacci</w:t>
      </w:r>
      <w:proofErr w:type="spellEnd"/>
      <w:r w:rsidRPr="00D34E5B">
        <w:rPr>
          <w:rFonts w:ascii="CMR12" w:hAnsi="CMR12"/>
          <w:lang w:val="en-US"/>
        </w:rPr>
        <w:t xml:space="preserve">. “Optimal Momentum: A Global Cross Asset Approach”. In: (). </w:t>
      </w:r>
      <w:r w:rsidRPr="00D34E5B">
        <w:rPr>
          <w:rFonts w:ascii="CMCSC10" w:hAnsi="CMCSC10"/>
          <w:lang w:val="en-US"/>
        </w:rPr>
        <w:t>url</w:t>
      </w:r>
      <w:r w:rsidRPr="00D34E5B">
        <w:rPr>
          <w:rFonts w:ascii="CMR12" w:hAnsi="CMR12"/>
          <w:lang w:val="en-US"/>
        </w:rPr>
        <w:t>:</w:t>
      </w:r>
      <w:r>
        <w:rPr>
          <w:rFonts w:ascii="CMR12" w:hAnsi="CMR12"/>
          <w:lang w:val="en-US"/>
        </w:rPr>
        <w:t xml:space="preserve"> </w:t>
      </w:r>
      <w:hyperlink r:id="rId6" w:history="1">
        <w:r w:rsidRPr="00353C97">
          <w:rPr>
            <w:rStyle w:val="Lienhypertexte"/>
            <w:rFonts w:ascii="CMSS12" w:hAnsi="CMSS12"/>
            <w:lang w:val="en-US"/>
          </w:rPr>
          <w:t>https://ssrn.com/abstract=1833722</w:t>
        </w:r>
      </w:hyperlink>
      <w:r w:rsidRPr="00D34E5B">
        <w:rPr>
          <w:rFonts w:ascii="CMR12" w:hAnsi="CMR12"/>
          <w:lang w:val="en-US"/>
        </w:rPr>
        <w:t>.</w:t>
      </w:r>
    </w:p>
    <w:p w:rsidR="00D34E5B" w:rsidRPr="00D34E5B" w:rsidRDefault="00D34E5B" w:rsidP="00D34E5B">
      <w:pPr>
        <w:pStyle w:val="NormalWeb"/>
        <w:rPr>
          <w:rFonts w:ascii="CMR12" w:hAnsi="CMR12"/>
          <w:lang w:val="en-US"/>
        </w:rPr>
      </w:pPr>
      <w:r w:rsidRPr="00D34E5B">
        <w:rPr>
          <w:rFonts w:ascii="CMR12" w:hAnsi="CMR12"/>
          <w:lang w:val="en-US"/>
        </w:rPr>
        <w:br/>
        <w:t xml:space="preserve">B. Hurst, </w:t>
      </w:r>
      <w:proofErr w:type="spellStart"/>
      <w:proofErr w:type="gramStart"/>
      <w:r w:rsidRPr="00D34E5B">
        <w:rPr>
          <w:rFonts w:ascii="CMR12" w:hAnsi="CMR12"/>
          <w:lang w:val="en-US"/>
        </w:rPr>
        <w:t>Y.Ooi</w:t>
      </w:r>
      <w:proofErr w:type="spellEnd"/>
      <w:proofErr w:type="gramEnd"/>
      <w:r w:rsidRPr="00D34E5B">
        <w:rPr>
          <w:rFonts w:ascii="CMR12" w:hAnsi="CMR12"/>
          <w:lang w:val="en-US"/>
        </w:rPr>
        <w:t xml:space="preserve">, </w:t>
      </w:r>
      <w:proofErr w:type="spellStart"/>
      <w:r w:rsidRPr="00D34E5B">
        <w:rPr>
          <w:rFonts w:ascii="CMR12" w:hAnsi="CMR12"/>
          <w:lang w:val="en-US"/>
        </w:rPr>
        <w:t>L.Pedersen</w:t>
      </w:r>
      <w:proofErr w:type="spellEnd"/>
      <w:r w:rsidRPr="00D34E5B">
        <w:rPr>
          <w:rFonts w:ascii="CMR12" w:hAnsi="CMR12"/>
          <w:lang w:val="en-US"/>
        </w:rPr>
        <w:t xml:space="preserve">. “A Century of Evidence on Trend-Following </w:t>
      </w:r>
      <w:proofErr w:type="spellStart"/>
      <w:r w:rsidRPr="00D34E5B">
        <w:rPr>
          <w:rFonts w:ascii="CMR12" w:hAnsi="CMR12"/>
          <w:lang w:val="en-US"/>
        </w:rPr>
        <w:t>Inesting</w:t>
      </w:r>
      <w:proofErr w:type="spellEnd"/>
      <w:r w:rsidRPr="00D34E5B">
        <w:rPr>
          <w:rFonts w:ascii="CMR12" w:hAnsi="CMR12"/>
          <w:lang w:val="en-US"/>
        </w:rPr>
        <w:t xml:space="preserve">”. </w:t>
      </w:r>
      <w:proofErr w:type="gramStart"/>
      <w:r>
        <w:rPr>
          <w:rFonts w:ascii="CMR12" w:hAnsi="CMR12"/>
        </w:rPr>
        <w:t>In:</w:t>
      </w:r>
      <w:proofErr w:type="gramEnd"/>
      <w:r>
        <w:rPr>
          <w:rFonts w:ascii="CMR12" w:hAnsi="CMR12"/>
        </w:rPr>
        <w:t xml:space="preserve"> (). </w:t>
      </w:r>
      <w:proofErr w:type="gramStart"/>
      <w:r>
        <w:rPr>
          <w:rFonts w:ascii="CMCSC10" w:hAnsi="CMCSC10"/>
        </w:rPr>
        <w:t>url</w:t>
      </w:r>
      <w:r>
        <w:rPr>
          <w:rFonts w:ascii="CMR12" w:hAnsi="CMR12"/>
        </w:rPr>
        <w:t>:</w:t>
      </w:r>
      <w:proofErr w:type="gramEnd"/>
      <w:r>
        <w:rPr>
          <w:rFonts w:ascii="CMR12" w:hAnsi="CMR12"/>
        </w:rPr>
        <w:t xml:space="preserve"> </w:t>
      </w:r>
      <w:r>
        <w:rPr>
          <w:rFonts w:ascii="CMSS12" w:hAnsi="CMSS12"/>
          <w:color w:val="0000FF"/>
        </w:rPr>
        <w:t>https://ssrn.com/abstract=2993026</w:t>
      </w:r>
      <w:r>
        <w:rPr>
          <w:rFonts w:ascii="CMR12" w:hAnsi="CMR12"/>
        </w:rPr>
        <w:t xml:space="preserve">. </w:t>
      </w:r>
    </w:p>
    <w:p w:rsidR="00A73A59" w:rsidRDefault="00A73A59"/>
    <w:sectPr w:rsidR="00A73A59" w:rsidSect="00C22EC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TI12">
    <w:altName w:val="Cambria"/>
    <w:panose1 w:val="020B0604020202020204"/>
    <w:charset w:val="00"/>
    <w:family w:val="roman"/>
    <w:notTrueType/>
    <w:pitch w:val="default"/>
  </w:font>
  <w:font w:name="CMCSC10">
    <w:altName w:val="Cambria"/>
    <w:panose1 w:val="020B0604020202020204"/>
    <w:charset w:val="00"/>
    <w:family w:val="roman"/>
    <w:notTrueType/>
    <w:pitch w:val="default"/>
  </w:font>
  <w:font w:name="CMSS12">
    <w:altName w:val="Cambria"/>
    <w:panose1 w:val="020B0604020202020204"/>
    <w:charset w:val="00"/>
    <w:family w:val="roman"/>
    <w:notTrueType/>
    <w:pitch w:val="default"/>
  </w:font>
  <w:font w:name="CMTT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5B"/>
    <w:rsid w:val="00A73A59"/>
    <w:rsid w:val="00C22EC3"/>
    <w:rsid w:val="00D3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AEEE78B"/>
  <w15:chartTrackingRefBased/>
  <w15:docId w15:val="{AFE9E277-C8A1-024D-B4B4-7A6F4B77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E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D34E5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4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8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srn.com/abstract=1833722" TargetMode="External"/><Relationship Id="rId5" Type="http://schemas.openxmlformats.org/officeDocument/2006/relationships/hyperlink" Target="https://ssrn.com/abstract=2140091" TargetMode="External"/><Relationship Id="rId4" Type="http://schemas.openxmlformats.org/officeDocument/2006/relationships/hyperlink" Target="https://ssrn.com/abstract=300853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Borel</dc:creator>
  <cp:keywords/>
  <dc:description/>
  <cp:lastModifiedBy>Maxime Borel</cp:lastModifiedBy>
  <cp:revision>1</cp:revision>
  <dcterms:created xsi:type="dcterms:W3CDTF">2020-12-12T09:54:00Z</dcterms:created>
  <dcterms:modified xsi:type="dcterms:W3CDTF">2020-12-12T09:56:00Z</dcterms:modified>
</cp:coreProperties>
</file>