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88B62">
      <w:pPr>
        <w:pStyle w:val="2"/>
        <w:rPr>
          <w:rFonts w:hint="eastAsia" w:ascii="Arial Unicode MS" w:hAnsi="Arial Unicode MS" w:eastAsia="Arial Unicode MS" w:cs="Arial Unicode MS"/>
        </w:rPr>
      </w:pPr>
      <w:bookmarkStart w:id="0" w:name="日本市场移动电源平台项目启动方案"/>
      <w:r>
        <w:rPr>
          <w:rFonts w:hint="eastAsia" w:ascii="Arial Unicode MS" w:hAnsi="Arial Unicode MS" w:eastAsia="Arial Unicode MS" w:cs="Arial Unicode MS"/>
        </w:rPr>
        <w:t>日本市场移动电源平台项目启动方案</w:t>
      </w:r>
    </w:p>
    <w:p w14:paraId="3C97FBB4">
      <w:pPr>
        <w:pStyle w:val="4"/>
        <w:rPr>
          <w:rFonts w:hint="eastAsia" w:ascii="Arial Unicode MS" w:hAnsi="Arial Unicode MS" w:eastAsia="Arial Unicode MS" w:cs="Arial Unicode MS"/>
        </w:rPr>
      </w:pPr>
      <w:bookmarkStart w:id="1" w:name="一项目背景与核心思路"/>
      <w:r>
        <w:rPr>
          <w:rFonts w:hint="eastAsia" w:ascii="Arial Unicode MS" w:hAnsi="Arial Unicode MS" w:eastAsia="Arial Unicode MS" w:cs="Arial Unicode MS"/>
        </w:rPr>
        <w:t>一、项目背景与核心思路</w:t>
      </w:r>
    </w:p>
    <w:p w14:paraId="2D9FFEB6">
      <w:pPr>
        <w:pStyle w:val="5"/>
        <w:rPr>
          <w:rFonts w:hint="eastAsia" w:ascii="Arial Unicode MS" w:hAnsi="Arial Unicode MS" w:eastAsia="Arial Unicode MS" w:cs="Arial Unicode MS"/>
        </w:rPr>
      </w:pPr>
      <w:bookmarkStart w:id="2" w:name="战略定位"/>
      <w:r>
        <w:rPr>
          <w:rFonts w:hint="eastAsia" w:ascii="Arial Unicode MS" w:hAnsi="Arial Unicode MS" w:eastAsia="Arial Unicode MS" w:cs="Arial Unicode MS"/>
        </w:rPr>
        <w:t xml:space="preserve">1.1 </w:t>
      </w:r>
      <w:r>
        <w:rPr>
          <w:rFonts w:hint="eastAsia" w:ascii="Arial Unicode MS" w:hAnsi="Arial Unicode MS" w:eastAsia="Arial Unicode MS" w:cs="Arial Unicode MS"/>
        </w:rPr>
        <w:t>战略定位</w:t>
      </w:r>
    </w:p>
    <w:p w14:paraId="6DFB492E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目标导向</w:t>
      </w:r>
      <w:r>
        <w:rPr>
          <w:rFonts w:hint="eastAsia" w:ascii="Arial Unicode MS" w:hAnsi="Arial Unicode MS" w:eastAsia="Arial Unicode MS" w:cs="Arial Unicode MS"/>
        </w:rPr>
        <w:t>：以“占领日本市场心智”为核心，而非单纯追求技术参数。通过“安全+性能数字化管理”实现产品差异化，区别于传统“黑盒”充电宝。</w:t>
      </w:r>
    </w:p>
    <w:p w14:paraId="5C336B56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角色定位</w:t>
      </w:r>
      <w:r>
        <w:rPr>
          <w:rFonts w:hint="eastAsia" w:ascii="Arial Unicode MS" w:hAnsi="Arial Unicode MS" w:eastAsia="Arial Unicode MS" w:cs="Arial Unicode MS"/>
        </w:rPr>
        <w:t>：作为集成平台方，利用成熟电芯和IC提供商（英集芯、智融）的SDK，核心竞争力在于“集成能力”与“数字化可视”的落地。</w:t>
      </w:r>
    </w:p>
    <w:bookmarkEnd w:id="2"/>
    <w:p w14:paraId="3BA9A55F">
      <w:pPr>
        <w:pStyle w:val="5"/>
        <w:rPr>
          <w:rFonts w:hint="eastAsia" w:ascii="Arial Unicode MS" w:hAnsi="Arial Unicode MS" w:eastAsia="Arial Unicode MS" w:cs="Arial Unicode MS"/>
        </w:rPr>
      </w:pPr>
      <w:bookmarkStart w:id="3" w:name="核心差异化策略"/>
      <w:r>
        <w:rPr>
          <w:rFonts w:hint="eastAsia" w:ascii="Arial Unicode MS" w:hAnsi="Arial Unicode MS" w:eastAsia="Arial Unicode MS" w:cs="Arial Unicode MS"/>
        </w:rPr>
        <w:t xml:space="preserve">1.2 </w:t>
      </w:r>
      <w:r>
        <w:rPr>
          <w:rFonts w:hint="eastAsia" w:ascii="Arial Unicode MS" w:hAnsi="Arial Unicode MS" w:eastAsia="Arial Unicode MS" w:cs="Arial Unicode MS"/>
        </w:rPr>
        <w:t>核心差异化策略</w:t>
      </w:r>
    </w:p>
    <w:p w14:paraId="763A1343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数字化可视</w:t>
      </w:r>
      <w:r>
        <w:rPr>
          <w:rFonts w:hint="eastAsia" w:ascii="Arial Unicode MS" w:hAnsi="Arial Unicode MS" w:eastAsia="Arial Unicode MS" w:cs="Arial Unicode MS"/>
        </w:rPr>
        <w:t>：将传统的“盲充”转变为可视化的智能电源系统。通过MCU管理，实时展示安全状态（温度、过充预警）和性能数据（动态功率、剩余续航）。</w:t>
      </w:r>
    </w:p>
    <w:p w14:paraId="2D01E4CE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技术路径</w:t>
      </w:r>
      <w:r>
        <w:rPr>
          <w:rFonts w:hint="eastAsia" w:ascii="Arial Unicode MS" w:hAnsi="Arial Unicode MS" w:eastAsia="Arial Unicode MS" w:cs="Arial Unicode MS"/>
        </w:rPr>
        <w:t>：技术不是目的，而是手段。利用SoC的底层能力，通过MCU应用层开发，打造符合日本市场实际需求（高安全、高合规、精细化）的产品。</w:t>
      </w:r>
    </w:p>
    <w:bookmarkEnd w:id="1"/>
    <w:bookmarkEnd w:id="3"/>
    <w:p w14:paraId="3CB3893B">
      <w:pPr>
        <w:pStyle w:val="4"/>
        <w:rPr>
          <w:rFonts w:hint="eastAsia" w:ascii="Arial Unicode MS" w:hAnsi="Arial Unicode MS" w:eastAsia="Arial Unicode MS" w:cs="Arial Unicode MS"/>
        </w:rPr>
      </w:pPr>
      <w:bookmarkStart w:id="4" w:name="二技术关键路径"/>
      <w:r>
        <w:rPr>
          <w:rFonts w:hint="eastAsia" w:ascii="Arial Unicode MS" w:hAnsi="Arial Unicode MS" w:eastAsia="Arial Unicode MS" w:cs="Arial Unicode MS"/>
        </w:rPr>
        <w:t>二、技术关键路径</w:t>
      </w:r>
    </w:p>
    <w:p w14:paraId="4EA46078">
      <w:pPr>
        <w:pStyle w:val="5"/>
        <w:rPr>
          <w:rFonts w:hint="eastAsia" w:ascii="Arial Unicode MS" w:hAnsi="Arial Unicode MS" w:eastAsia="Arial Unicode MS" w:cs="Arial Unicode MS"/>
        </w:rPr>
      </w:pPr>
      <w:bookmarkStart w:id="5" w:name="ic选型与底层架构"/>
      <w:r>
        <w:rPr>
          <w:rFonts w:hint="eastAsia" w:ascii="Arial Unicode MS" w:hAnsi="Arial Unicode MS" w:eastAsia="Arial Unicode MS" w:cs="Arial Unicode MS"/>
        </w:rPr>
        <w:t xml:space="preserve">2.1 </w:t>
      </w:r>
      <w:r>
        <w:rPr>
          <w:rFonts w:hint="eastAsia" w:ascii="Arial Unicode MS" w:hAnsi="Arial Unicode MS" w:eastAsia="Arial Unicode MS" w:cs="Arial Unicode MS"/>
        </w:rPr>
        <w:t>IC选型与底层架构</w:t>
      </w:r>
    </w:p>
    <w:p w14:paraId="1315B2BD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>基于英集芯（Injoinic）和智融（iSmartware）的成熟SoC方案，构建稳固的硬件底座：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54"/>
        <w:gridCol w:w="2754"/>
        <w:gridCol w:w="2754"/>
      </w:tblGrid>
      <w:tr w14:paraId="4BC30836">
        <w:trPr>
          <w:tblHeader/>
        </w:trPr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276B9A7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厂商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FBD0FF6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核心优势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1A3777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适用场景</w:t>
            </w:r>
          </w:p>
        </w:tc>
        <w:tc>
          <w:tcPr>
            <w:tcW w:w="19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CECE09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代表芯片</w:t>
            </w:r>
          </w:p>
        </w:tc>
      </w:tr>
      <w:tr w14:paraId="23D8D10D">
        <w:tc>
          <w:tcPr>
            <w:tcW w:w="1980" w:type="dxa"/>
          </w:tcPr>
          <w:p w14:paraId="141ECA66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bCs/>
              </w:rPr>
              <w:t>英集芯</w:t>
            </w:r>
          </w:p>
        </w:tc>
        <w:tc>
          <w:tcPr>
            <w:tcW w:w="1980" w:type="dxa"/>
          </w:tcPr>
          <w:p w14:paraId="7C47692B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单芯锂电、高集成度、磁吸方案</w:t>
            </w:r>
          </w:p>
        </w:tc>
        <w:tc>
          <w:tcPr>
            <w:tcW w:w="1980" w:type="dxa"/>
          </w:tcPr>
          <w:p w14:paraId="5A9A86B6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小容量、磁吸、Type-C快充</w:t>
            </w:r>
          </w:p>
        </w:tc>
        <w:tc>
          <w:tcPr>
            <w:tcW w:w="1980" w:type="dxa"/>
          </w:tcPr>
          <w:p w14:paraId="752EEA20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IP5310, IP5328, IP5356</w:t>
            </w:r>
          </w:p>
        </w:tc>
      </w:tr>
      <w:tr w14:paraId="34C11DFC">
        <w:tc>
          <w:tcPr>
            <w:tcW w:w="1980" w:type="dxa"/>
          </w:tcPr>
          <w:p w14:paraId="4FD8AA47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bCs/>
              </w:rPr>
              <w:t>智融</w:t>
            </w:r>
          </w:p>
        </w:tc>
        <w:tc>
          <w:tcPr>
            <w:tcW w:w="1980" w:type="dxa"/>
          </w:tcPr>
          <w:p w14:paraId="4609355E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大功率、PPS支持、华为协议兼容</w:t>
            </w:r>
          </w:p>
        </w:tc>
        <w:tc>
          <w:tcPr>
            <w:tcW w:w="1980" w:type="dxa"/>
          </w:tcPr>
          <w:p w14:paraId="6A512D3D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65W-140W大功率、小型化</w:t>
            </w:r>
          </w:p>
        </w:tc>
        <w:tc>
          <w:tcPr>
            <w:tcW w:w="1980" w:type="dxa"/>
          </w:tcPr>
          <w:p w14:paraId="4741720C">
            <w:pPr>
              <w:pStyle w:val="24"/>
              <w:rPr>
                <w:rFonts w:hint="eastAsia" w:ascii="Arial Unicode MS" w:hAnsi="Arial Unicode MS" w:eastAsia="Arial Unicode MS" w:cs="Arial Unicode MS"/>
              </w:rPr>
            </w:pPr>
            <w:r>
              <w:rPr>
                <w:rFonts w:hint="eastAsia" w:ascii="Arial Unicode MS" w:hAnsi="Arial Unicode MS" w:eastAsia="Arial Unicode MS" w:cs="Arial Unicode MS"/>
              </w:rPr>
              <w:t>SW2303, SW3516, SW3566</w:t>
            </w:r>
          </w:p>
        </w:tc>
      </w:tr>
      <w:bookmarkEnd w:id="5"/>
    </w:tbl>
    <w:p w14:paraId="6FA82E67">
      <w:pPr>
        <w:pStyle w:val="5"/>
        <w:rPr>
          <w:rFonts w:hint="eastAsia" w:ascii="Arial Unicode MS" w:hAnsi="Arial Unicode MS" w:eastAsia="Arial Unicode MS" w:cs="Arial Unicode MS"/>
        </w:rPr>
      </w:pPr>
      <w:bookmarkStart w:id="6" w:name="mcu应用层开发核心战场"/>
      <w:r>
        <w:rPr>
          <w:rFonts w:hint="eastAsia" w:ascii="Arial Unicode MS" w:hAnsi="Arial Unicode MS" w:eastAsia="Arial Unicode MS" w:cs="Arial Unicode MS"/>
        </w:rPr>
        <w:t xml:space="preserve">2.2 </w:t>
      </w:r>
      <w:r>
        <w:rPr>
          <w:rFonts w:hint="eastAsia" w:ascii="Arial Unicode MS" w:hAnsi="Arial Unicode MS" w:eastAsia="Arial Unicode MS" w:cs="Arial Unicode MS"/>
        </w:rPr>
        <w:t>MCU应用层开发（核心战场）</w:t>
      </w:r>
    </w:p>
    <w:p w14:paraId="75110D6B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>SoC负责“体力活”（电压转换、协议握手），MCU负责“脑力活”（策略与交互）：</w:t>
      </w:r>
    </w:p>
    <w:p w14:paraId="762DB8D2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 - </w:t>
      </w:r>
      <w:r>
        <w:rPr>
          <w:rFonts w:hint="eastAsia" w:ascii="Arial Unicode MS" w:hAnsi="Arial Unicode MS" w:eastAsia="Arial Unicode MS" w:cs="Arial Unicode MS"/>
          <w:b/>
          <w:bCs/>
        </w:rPr>
        <w:t>数据可视化</w:t>
      </w:r>
      <w:r>
        <w:rPr>
          <w:rFonts w:hint="eastAsia" w:ascii="Arial Unicode MS" w:hAnsi="Arial Unicode MS" w:eastAsia="Arial Unicode MS" w:cs="Arial Unicode MS"/>
        </w:rPr>
        <w:t>：读取底层数据，计算并显示“剩余使用时长”、“电芯健康度”。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666A6861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智能策略</w:t>
      </w:r>
      <w:r>
        <w:rPr>
          <w:rFonts w:hint="eastAsia" w:ascii="Arial Unicode MS" w:hAnsi="Arial Unicode MS" w:eastAsia="Arial Unicode MS" w:cs="Arial Unicode MS"/>
        </w:rPr>
        <w:t>：根据温度和环境动态调整输出功率；实现多设备充电时的功率智能分配。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220907CD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交互逻辑</w:t>
      </w:r>
      <w:r>
        <w:rPr>
          <w:rFonts w:hint="eastAsia" w:ascii="Arial Unicode MS" w:hAnsi="Arial Unicode MS" w:eastAsia="Arial Unicode MS" w:cs="Arial Unicode MS"/>
        </w:rPr>
        <w:t>：控制LED/屏幕显示，处理用户按键，实现APP连接与固件升级（IAP）。</w:t>
      </w:r>
    </w:p>
    <w:bookmarkEnd w:id="4"/>
    <w:bookmarkEnd w:id="6"/>
    <w:p w14:paraId="06823D37">
      <w:pPr>
        <w:pStyle w:val="4"/>
        <w:rPr>
          <w:rFonts w:hint="eastAsia" w:ascii="Arial Unicode MS" w:hAnsi="Arial Unicode MS" w:eastAsia="Arial Unicode MS" w:cs="Arial Unicode MS"/>
        </w:rPr>
      </w:pPr>
      <w:bookmarkStart w:id="7" w:name="三供应链合作策略"/>
      <w:r>
        <w:rPr>
          <w:rFonts w:hint="eastAsia" w:ascii="Arial Unicode MS" w:hAnsi="Arial Unicode MS" w:eastAsia="Arial Unicode MS" w:cs="Arial Unicode MS"/>
        </w:rPr>
        <w:t>三、供应链合作策略</w:t>
      </w:r>
    </w:p>
    <w:p w14:paraId="4D730D32">
      <w:pPr>
        <w:pStyle w:val="5"/>
        <w:rPr>
          <w:rFonts w:hint="eastAsia" w:ascii="Arial Unicode MS" w:hAnsi="Arial Unicode MS" w:eastAsia="Arial Unicode MS" w:cs="Arial Unicode MS"/>
        </w:rPr>
      </w:pPr>
      <w:bookmarkStart w:id="8" w:name="sdk合作模式要接口不要源码"/>
      <w:r>
        <w:rPr>
          <w:rFonts w:hint="eastAsia" w:ascii="Arial Unicode MS" w:hAnsi="Arial Unicode MS" w:eastAsia="Arial Unicode MS" w:cs="Arial Unicode MS"/>
        </w:rPr>
        <w:t xml:space="preserve">3.1 </w:t>
      </w:r>
      <w:r>
        <w:rPr>
          <w:rFonts w:hint="eastAsia" w:ascii="Arial Unicode MS" w:hAnsi="Arial Unicode MS" w:eastAsia="Arial Unicode MS" w:cs="Arial Unicode MS"/>
        </w:rPr>
        <w:t>SDK合作模式：</w:t>
      </w:r>
      <w:r>
        <w:rPr>
          <w:rFonts w:hint="eastAsia" w:ascii="Arial Unicode MS" w:hAnsi="Arial Unicode MS" w:eastAsia="Arial Unicode MS" w:cs="Arial Unicode MS"/>
          <w:lang w:val="en-US" w:eastAsia="zh-CN"/>
        </w:rPr>
        <w:t>开源要求是</w:t>
      </w:r>
      <w:r>
        <w:rPr>
          <w:rFonts w:hint="eastAsia" w:ascii="Arial Unicode MS" w:hAnsi="Arial Unicode MS" w:eastAsia="Arial Unicode MS" w:cs="Arial Unicode MS"/>
        </w:rPr>
        <w:t>要“接口”不要“源码”</w:t>
      </w:r>
    </w:p>
    <w:p w14:paraId="3E94B214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>针对英集芯等厂商SDK仅向核心方案商开放的现状，确立合理的谈判边界：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7F301723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拒绝黑盒</w:t>
      </w:r>
      <w:r>
        <w:rPr>
          <w:rFonts w:hint="eastAsia" w:ascii="Arial Unicode MS" w:hAnsi="Arial Unicode MS" w:eastAsia="Arial Unicode MS" w:cs="Arial Unicode MS"/>
        </w:rPr>
        <w:t>：不接受完全封闭的“傻瓜式”芯片，无法满足日本市场的定制化需求。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2B79ECDD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拒绝源码</w:t>
      </w:r>
      <w:r>
        <w:rPr>
          <w:rFonts w:hint="eastAsia" w:ascii="Arial Unicode MS" w:hAnsi="Arial Unicode MS" w:eastAsia="Arial Unicode MS" w:cs="Arial Unicode MS"/>
        </w:rPr>
        <w:t>：不要求开放底层驱动源代码（涉及IP泄露和安全隐患）。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043267D7">
      <w:pPr>
        <w:pStyle w:val="23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核心诉求</w:t>
      </w:r>
      <w:r>
        <w:rPr>
          <w:rFonts w:hint="eastAsia" w:ascii="Arial Unicode MS" w:hAnsi="Arial Unicode MS" w:eastAsia="Arial Unicode MS" w:cs="Arial Unicode MS"/>
        </w:rPr>
        <w:t>：要求开放</w:t>
      </w:r>
      <w:r>
        <w:rPr>
          <w:rFonts w:hint="eastAsia" w:ascii="Arial Unicode MS" w:hAnsi="Arial Unicode MS" w:eastAsia="Arial Unicode MS" w:cs="Arial Unicode MS"/>
          <w:b/>
          <w:bCs/>
        </w:rPr>
        <w:t>标准API接口文档和库文件</w:t>
      </w:r>
      <w:r>
        <w:rPr>
          <w:rFonts w:hint="eastAsia" w:ascii="Arial Unicode MS" w:hAnsi="Arial Unicode MS" w:eastAsia="Arial Unicode MS" w:cs="Arial Unicode MS"/>
          <w:b/>
          <w:bCs/>
        </w:rPr>
        <w:t>,</w:t>
      </w:r>
      <w:r>
        <w:rPr>
          <w:rFonts w:hint="eastAsia" w:ascii="Arial Unicode MS" w:hAnsi="Arial Unicode MS" w:eastAsia="Arial Unicode MS" w:cs="Arial Unicode MS"/>
          <w:b/>
          <w:bCs/>
        </w:rPr>
        <w:t>比如</w:t>
      </w:r>
      <w:r>
        <w:rPr>
          <w:rFonts w:hint="eastAsia" w:ascii="Arial Unicode MS" w:hAnsi="Arial Unicode MS" w:eastAsia="Arial Unicode MS" w:cs="Arial Unicode MS"/>
        </w:rPr>
        <w:t>：</w:t>
      </w:r>
      <w:r>
        <w:rPr>
          <w:rFonts w:hint="eastAsia" w:ascii="Arial Unicode MS" w:hAnsi="Arial Unicode MS" w:eastAsia="Arial Unicode MS" w:cs="Arial Unicode MS"/>
        </w:rPr>
        <w:t xml:space="preserve"> </w:t>
      </w:r>
    </w:p>
    <w:p w14:paraId="7FF463CC">
      <w:pPr>
        <w:pStyle w:val="23"/>
        <w:ind w:left="720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数据读取接口</w:t>
      </w:r>
      <w:r>
        <w:rPr>
          <w:rFonts w:hint="eastAsia" w:ascii="Arial Unicode MS" w:hAnsi="Arial Unicode MS" w:eastAsia="Arial Unicode MS" w:cs="Arial Unicode MS"/>
        </w:rPr>
        <w:t>：</w:t>
      </w:r>
      <w:r>
        <w:rPr>
          <w:rStyle w:val="48"/>
          <w:rFonts w:hint="eastAsia" w:ascii="Arial Unicode MS" w:hAnsi="Arial Unicode MS" w:eastAsia="Arial Unicode MS" w:cs="Arial Unicode MS"/>
        </w:rPr>
        <w:t>Get_Voltage()</w:t>
      </w:r>
      <w:r>
        <w:rPr>
          <w:rFonts w:hint="eastAsia" w:ascii="Arial Unicode MS" w:hAnsi="Arial Unicode MS" w:eastAsia="Arial Unicode MS" w:cs="Arial Unicode MS"/>
        </w:rPr>
        <w:t xml:space="preserve">, </w:t>
      </w:r>
      <w:r>
        <w:rPr>
          <w:rStyle w:val="48"/>
          <w:rFonts w:hint="eastAsia" w:ascii="Arial Unicode MS" w:hAnsi="Arial Unicode MS" w:eastAsia="Arial Unicode MS" w:cs="Arial Unicode MS"/>
        </w:rPr>
        <w:t>Get_Temperature()</w:t>
      </w:r>
      <w:r>
        <w:rPr>
          <w:rFonts w:hint="eastAsia" w:ascii="Arial Unicode MS" w:hAnsi="Arial Unicode MS" w:eastAsia="Arial Unicode MS" w:cs="Arial Unicode MS"/>
        </w:rPr>
        <w:t xml:space="preserve">。 </w:t>
      </w:r>
    </w:p>
    <w:p w14:paraId="32805496">
      <w:pPr>
        <w:pStyle w:val="23"/>
        <w:ind w:left="720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参数配置接口</w:t>
      </w:r>
      <w:r>
        <w:rPr>
          <w:rFonts w:hint="eastAsia" w:ascii="Arial Unicode MS" w:hAnsi="Arial Unicode MS" w:eastAsia="Arial Unicode MS" w:cs="Arial Unicode MS"/>
        </w:rPr>
        <w:t>：</w:t>
      </w:r>
      <w:r>
        <w:rPr>
          <w:rStyle w:val="48"/>
          <w:rFonts w:hint="eastAsia" w:ascii="Arial Unicode MS" w:hAnsi="Arial Unicode MS" w:eastAsia="Arial Unicode MS" w:cs="Arial Unicode MS"/>
        </w:rPr>
        <w:t>Set_OCP_Threshold()</w:t>
      </w:r>
      <w:r>
        <w:rPr>
          <w:rFonts w:hint="eastAsia"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>(过流保护阈值)。</w:t>
      </w:r>
      <w:r>
        <w:rPr>
          <w:rFonts w:hint="eastAsia" w:ascii="Arial Unicode MS" w:hAnsi="Arial Unicode MS" w:eastAsia="Arial Unicode MS" w:cs="Arial Unicode MS"/>
        </w:rPr>
        <w:t xml:space="preserve"> </w:t>
      </w:r>
      <w:bookmarkStart w:id="13" w:name="_GoBack"/>
      <w:bookmarkEnd w:id="13"/>
    </w:p>
    <w:p w14:paraId="51CE0311">
      <w:pPr>
        <w:pStyle w:val="23"/>
        <w:ind w:left="720"/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</w:rPr>
        <w:t xml:space="preserve">- </w:t>
      </w:r>
      <w:r>
        <w:rPr>
          <w:rFonts w:hint="eastAsia" w:ascii="Arial Unicode MS" w:hAnsi="Arial Unicode MS" w:eastAsia="Arial Unicode MS" w:cs="Arial Unicode MS"/>
          <w:b/>
          <w:bCs/>
        </w:rPr>
        <w:t>事件回调机制</w:t>
      </w:r>
      <w:r>
        <w:rPr>
          <w:rFonts w:hint="eastAsia" w:ascii="Arial Unicode MS" w:hAnsi="Arial Unicode MS" w:eastAsia="Arial Unicode MS" w:cs="Arial Unicode MS"/>
        </w:rPr>
        <w:t>：快充握手成功通知、异常中断通知。</w:t>
      </w:r>
    </w:p>
    <w:bookmarkEnd w:id="8"/>
    <w:p w14:paraId="67587D16">
      <w:pPr>
        <w:pStyle w:val="5"/>
        <w:rPr>
          <w:rFonts w:hint="eastAsia" w:ascii="Arial Unicode MS" w:hAnsi="Arial Unicode MS" w:eastAsia="Arial Unicode MS" w:cs="Arial Unicode MS"/>
        </w:rPr>
      </w:pPr>
      <w:bookmarkStart w:id="9" w:name="双赢合作基石"/>
      <w:r>
        <w:rPr>
          <w:rFonts w:hint="eastAsia" w:ascii="Arial Unicode MS" w:hAnsi="Arial Unicode MS" w:eastAsia="Arial Unicode MS" w:cs="Arial Unicode MS"/>
        </w:rPr>
        <w:t xml:space="preserve">3.2 </w:t>
      </w:r>
      <w:r>
        <w:rPr>
          <w:rFonts w:hint="eastAsia" w:ascii="Arial Unicode MS" w:hAnsi="Arial Unicode MS" w:eastAsia="Arial Unicode MS" w:cs="Arial Unicode MS"/>
        </w:rPr>
        <w:t>双赢合作基石</w:t>
      </w:r>
    </w:p>
    <w:p w14:paraId="48C3B3FF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市场准入</w:t>
      </w:r>
      <w:r>
        <w:rPr>
          <w:rFonts w:hint="eastAsia" w:ascii="Arial Unicode MS" w:hAnsi="Arial Unicode MS" w:eastAsia="Arial Unicode MS" w:cs="Arial Unicode MS"/>
        </w:rPr>
        <w:t>：利用我方在日本市场的PSE认证经验和渠道资源，帮助芯片厂降低进入门槛。</w:t>
      </w:r>
    </w:p>
    <w:p w14:paraId="16DD12E8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差异化互补</w:t>
      </w:r>
      <w:r>
        <w:rPr>
          <w:rFonts w:hint="eastAsia" w:ascii="Arial Unicode MS" w:hAnsi="Arial Unicode MS" w:eastAsia="Arial Unicode MS" w:cs="Arial Unicode MS"/>
        </w:rPr>
        <w:t>：我方负责上层应用与算法，芯片厂负责底层稳定性，共同打造“</w:t>
      </w:r>
      <w:r>
        <w:rPr>
          <w:rFonts w:hint="eastAsia" w:ascii="Arial Unicode MS" w:hAnsi="Arial Unicode MS" w:eastAsia="Arial Unicode MS" w:cs="Arial Unicode MS"/>
          <w:b/>
          <w:bCs/>
          <w:color w:val="FF0000"/>
        </w:rPr>
        <w:t>英集芯Inside</w:t>
      </w:r>
      <w:r>
        <w:rPr>
          <w:rFonts w:hint="eastAsia" w:ascii="Arial Unicode MS" w:hAnsi="Arial Unicode MS" w:eastAsia="Arial Unicode MS" w:cs="Arial Unicode MS"/>
        </w:rPr>
        <w:t>”的高端差异化产品。</w:t>
      </w:r>
    </w:p>
    <w:p w14:paraId="3A2B1CE2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利益绑定</w:t>
      </w:r>
      <w:r>
        <w:rPr>
          <w:rFonts w:hint="eastAsia" w:ascii="Arial Unicode MS" w:hAnsi="Arial Unicode MS" w:eastAsia="Arial Unicode MS" w:cs="Arial Unicode MS"/>
        </w:rPr>
        <w:t>：通过承诺规模化采购或签订独家代理协议，换取SDK接口权限与技术支持。</w:t>
      </w:r>
    </w:p>
    <w:bookmarkEnd w:id="7"/>
    <w:bookmarkEnd w:id="9"/>
    <w:p w14:paraId="22FFD256">
      <w:pPr>
        <w:pStyle w:val="4"/>
        <w:rPr>
          <w:rFonts w:hint="eastAsia" w:ascii="Arial Unicode MS" w:hAnsi="Arial Unicode MS" w:eastAsia="Arial Unicode MS" w:cs="Arial Unicode MS"/>
        </w:rPr>
      </w:pPr>
      <w:bookmarkStart w:id="10" w:name="四合规与风险控制"/>
      <w:r>
        <w:rPr>
          <w:rFonts w:hint="eastAsia" w:ascii="Arial Unicode MS" w:hAnsi="Arial Unicode MS" w:eastAsia="Arial Unicode MS" w:cs="Arial Unicode MS"/>
        </w:rPr>
        <w:t>四、合规与风险控制</w:t>
      </w:r>
    </w:p>
    <w:p w14:paraId="4B34E49D">
      <w:pPr>
        <w:pStyle w:val="5"/>
        <w:rPr>
          <w:rFonts w:hint="eastAsia" w:ascii="Arial Unicode MS" w:hAnsi="Arial Unicode MS" w:eastAsia="Arial Unicode MS" w:cs="Arial Unicode MS"/>
        </w:rPr>
      </w:pPr>
      <w:bookmarkStart w:id="11" w:name="日本市场合规落地"/>
      <w:r>
        <w:rPr>
          <w:rFonts w:hint="eastAsia" w:ascii="Arial Unicode MS" w:hAnsi="Arial Unicode MS" w:eastAsia="Arial Unicode MS" w:cs="Arial Unicode MS"/>
        </w:rPr>
        <w:t xml:space="preserve">4.1 </w:t>
      </w:r>
      <w:r>
        <w:rPr>
          <w:rFonts w:hint="eastAsia" w:ascii="Arial Unicode MS" w:hAnsi="Arial Unicode MS" w:eastAsia="Arial Unicode MS" w:cs="Arial Unicode MS"/>
        </w:rPr>
        <w:t>日本市场合规落地</w:t>
      </w:r>
    </w:p>
    <w:p w14:paraId="47333DCA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PSE认证</w:t>
      </w:r>
      <w:r>
        <w:rPr>
          <w:rFonts w:hint="eastAsia" w:ascii="Arial Unicode MS" w:hAnsi="Arial Unicode MS" w:eastAsia="Arial Unicode MS" w:cs="Arial Unicode MS"/>
        </w:rPr>
        <w:t>：必须通过日本电气用品安全法认证，重点测试电池安全与电磁兼容。</w:t>
      </w:r>
    </w:p>
    <w:p w14:paraId="13D657A9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航空法规</w:t>
      </w:r>
      <w:r>
        <w:rPr>
          <w:rFonts w:hint="eastAsia" w:ascii="Arial Unicode MS" w:hAnsi="Arial Unicode MS" w:eastAsia="Arial Unicode MS" w:cs="Arial Unicode MS"/>
        </w:rPr>
        <w:t>：严格控制电池容量（如≤100Wh），优化尺寸重量，满足便携出行需求。</w:t>
      </w:r>
    </w:p>
    <w:p w14:paraId="20EDA9BD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Qi2磁吸标准</w:t>
      </w:r>
      <w:r>
        <w:rPr>
          <w:rFonts w:hint="eastAsia" w:ascii="Arial Unicode MS" w:hAnsi="Arial Unicode MS" w:eastAsia="Arial Unicode MS" w:cs="Arial Unicode MS"/>
        </w:rPr>
        <w:t>：适配最新的Qi2磁吸结构，确保吸附稳定性与充电效率。</w:t>
      </w:r>
    </w:p>
    <w:bookmarkEnd w:id="11"/>
    <w:p w14:paraId="58958C1A">
      <w:pPr>
        <w:pStyle w:val="5"/>
        <w:rPr>
          <w:rFonts w:hint="eastAsia" w:ascii="Arial Unicode MS" w:hAnsi="Arial Unicode MS" w:eastAsia="Arial Unicode MS" w:cs="Arial Unicode MS"/>
        </w:rPr>
      </w:pPr>
      <w:bookmarkStart w:id="12" w:name="技术与市场风险应对"/>
      <w:r>
        <w:rPr>
          <w:rFonts w:hint="eastAsia" w:ascii="Arial Unicode MS" w:hAnsi="Arial Unicode MS" w:eastAsia="Arial Unicode MS" w:cs="Arial Unicode MS"/>
        </w:rPr>
        <w:t xml:space="preserve">4.2 </w:t>
      </w:r>
      <w:r>
        <w:rPr>
          <w:rFonts w:hint="eastAsia" w:ascii="Arial Unicode MS" w:hAnsi="Arial Unicode MS" w:eastAsia="Arial Unicode MS" w:cs="Arial Unicode MS"/>
        </w:rPr>
        <w:t>技术与市场风险应对</w:t>
      </w:r>
    </w:p>
    <w:p w14:paraId="7C2CB67B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热设计风险</w:t>
      </w:r>
      <w:r>
        <w:rPr>
          <w:rFonts w:hint="eastAsia" w:ascii="Arial Unicode MS" w:hAnsi="Arial Unicode MS" w:eastAsia="Arial Unicode MS" w:cs="Arial Unicode MS"/>
        </w:rPr>
        <w:t>：针对大功率（65W+）小体积需求，采用石墨烯散热片、金属外壳导热，确保温控表现。</w:t>
      </w:r>
    </w:p>
    <w:p w14:paraId="5A61823F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固件算法风险</w:t>
      </w:r>
      <w:r>
        <w:rPr>
          <w:rFonts w:hint="eastAsia" w:ascii="Arial Unicode MS" w:hAnsi="Arial Unicode MS" w:eastAsia="Arial Unicode MS" w:cs="Arial Unicode MS"/>
        </w:rPr>
        <w:t>：提前与IC厂商沟通SDK兼容性，预留调试周期；通过小批量试产验证“数字化可视”功能的用户接受度。</w:t>
      </w:r>
    </w:p>
    <w:p w14:paraId="69CE8493">
      <w:pPr>
        <w:pStyle w:val="24"/>
        <w:numPr>
          <w:ilvl w:val="0"/>
          <w:numId w:val="1"/>
        </w:numPr>
        <w:rPr>
          <w:rFonts w:hint="eastAsia" w:ascii="Arial Unicode MS" w:hAnsi="Arial Unicode MS" w:eastAsia="Arial Unicode MS" w:cs="Arial Unicode MS"/>
        </w:rPr>
      </w:pPr>
      <w:r>
        <w:rPr>
          <w:rFonts w:hint="eastAsia" w:ascii="Arial Unicode MS" w:hAnsi="Arial Unicode MS" w:eastAsia="Arial Unicode MS" w:cs="Arial Unicode MS"/>
          <w:b/>
          <w:bCs/>
        </w:rPr>
        <w:t>电芯一致性</w:t>
      </w:r>
      <w:r>
        <w:rPr>
          <w:rFonts w:hint="eastAsia" w:ascii="Arial Unicode MS" w:hAnsi="Arial Unicode MS" w:eastAsia="Arial Unicode MS" w:cs="Arial Unicode MS"/>
        </w:rPr>
        <w:t>：优化BMS算法，确保多节电芯并联/串联时的均衡性，延长产品寿命。</w:t>
      </w:r>
      <w:bookmarkEnd w:id="0"/>
      <w:bookmarkEnd w:id="10"/>
      <w:bookmarkEnd w:id="12"/>
    </w:p>
    <w:sectPr>
      <w:footnotePr>
        <w:numRestart w:val="eachSect"/>
      </w:footnotePr>
      <w:pgSz w:w="12240" w:h="15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Kayah Li">
    <w:panose1 w:val="020B0502040504020204"/>
    <w:charset w:val="00"/>
    <w:family w:val="auto"/>
    <w:pitch w:val="default"/>
    <w:sig w:usb0="80000003" w:usb1="00002000" w:usb2="00000000" w:usb3="001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金山云技术体">
    <w:panose1 w:val="00000000000000000000"/>
    <w:charset w:val="86"/>
    <w:family w:val="auto"/>
    <w:pitch w:val="default"/>
    <w:sig w:usb0="00000003" w:usb1="08010000" w:usb2="00000000" w:usb3="00000000" w:csb0="00040001" w:csb1="0000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Chalkboard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Hiragino Kaku Gothic ProN W3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君黑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2"/>
  </w:compat>
  <w:docVars>
    <w:docVar w:name="commondata" w:val="eyJoZGlkIjoiYzA5NzQzYzM5YTg0Zjg1Zjk5NTMyZjQzOGQwMmZmNmMifQ=="/>
  </w:docVars>
  <w:rsids>
    <w:rsidRoot w:val="00B7673D"/>
    <w:rsid w:val="001C1C22"/>
    <w:rsid w:val="00306163"/>
    <w:rsid w:val="00A36ED1"/>
    <w:rsid w:val="00B7673D"/>
    <w:rsid w:val="6F5F49E5"/>
    <w:rsid w:val="EF7DD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9"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Caption Char"/>
    <w:basedOn w:val="12"/>
    <w:link w:val="15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1173</Words>
  <Characters>1359</Characters>
  <Lines>10</Lines>
  <Paragraphs>2</Paragraphs>
  <TotalTime>67</TotalTime>
  <ScaleCrop>false</ScaleCrop>
  <LinksUpToDate>false</LinksUpToDate>
  <CharactersWithSpaces>1391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2026-05-13T12:05:00Z</dcterms:created>
  <dc:creator>霍明征</dc:creator>
  <cp:lastModifiedBy>霍明征</cp:lastModifiedBy>
  <dcterms:modified xsi:type="dcterms:W3CDTF">2026-05-13T22:12:44Z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1033-6.12.1.8902</vt:lpwstr>
  </property>
  <property fmtid="{D5CDD505-2E9C-101B-9397-08002B2CF9AE}" pid="3" name="ICV">
    <vt:lpwstr>C37199DEFB474C754079046ADAE80D32_42</vt:lpwstr>
  </property>
</Properties>
</file>