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軟硬體清單及系統架構圖"/>
      <w:r>
        <w:t xml:space="preserve">#06 軟硬體清單及系統架構圖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 ｜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 ｜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  <w:r>
        <w:t xml:space="preserve"> </w:t>
      </w:r>
      <w:r>
        <w:rPr>
          <w:b/>
        </w:rPr>
        <w:t xml:space="preserve">國營臺灣鐵路股份有限公司 AI 客服系統建置案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6.1　文件概述與適用範圍</w:t>
      </w:r>
    </w:p>
    <w:p>
      <w:pPr>
        <w:numPr>
          <w:ilvl w:val="0"/>
          <w:numId w:val="1001"/>
        </w:numPr>
        <w:pStyle w:val="Compact"/>
      </w:pPr>
      <w:r>
        <w:t xml:space="preserve">6.2　正式環境硬體清單</w:t>
      </w:r>
    </w:p>
    <w:p>
      <w:pPr>
        <w:numPr>
          <w:ilvl w:val="1"/>
          <w:numId w:val="1002"/>
        </w:numPr>
        <w:pStyle w:val="Compact"/>
      </w:pPr>
      <w:r>
        <w:t xml:space="preserve">6.2.1　硬體交貨清單對照表</w:t>
      </w:r>
    </w:p>
    <w:p>
      <w:pPr>
        <w:numPr>
          <w:ilvl w:val="1"/>
          <w:numId w:val="1002"/>
        </w:numPr>
        <w:pStyle w:val="Compact"/>
      </w:pPr>
      <w:r>
        <w:t xml:space="preserve">6.2.2　GPU 同等品認定基準</w:t>
      </w:r>
    </w:p>
    <w:p>
      <w:pPr>
        <w:numPr>
          <w:ilvl w:val="1"/>
          <w:numId w:val="1002"/>
        </w:numPr>
        <w:pStyle w:val="Compact"/>
      </w:pPr>
      <w:r>
        <w:t xml:space="preserve">6.2.3　產品規格佐證資料清單</w:t>
      </w:r>
    </w:p>
    <w:p>
      <w:pPr>
        <w:numPr>
          <w:ilvl w:val="0"/>
          <w:numId w:val="1001"/>
        </w:numPr>
        <w:pStyle w:val="Compact"/>
      </w:pPr>
      <w:r>
        <w:t xml:space="preserve">6.3　測試環境硬體清單</w:t>
      </w:r>
    </w:p>
    <w:p>
      <w:pPr>
        <w:numPr>
          <w:ilvl w:val="0"/>
          <w:numId w:val="1001"/>
        </w:numPr>
        <w:pStyle w:val="Compact"/>
      </w:pPr>
      <w:r>
        <w:t xml:space="preserve">6.4　軟體清單與授權證明</w:t>
      </w:r>
    </w:p>
    <w:p>
      <w:pPr>
        <w:numPr>
          <w:ilvl w:val="1"/>
          <w:numId w:val="1003"/>
        </w:numPr>
        <w:pStyle w:val="Compact"/>
      </w:pPr>
      <w:r>
        <w:t xml:space="preserve">6.4.1　系統軟體</w:t>
      </w:r>
    </w:p>
    <w:p>
      <w:pPr>
        <w:numPr>
          <w:ilvl w:val="1"/>
          <w:numId w:val="1003"/>
        </w:numPr>
        <w:pStyle w:val="Compact"/>
      </w:pPr>
      <w:r>
        <w:t xml:space="preserve">6.4.2　AI 框架與模型</w:t>
      </w:r>
    </w:p>
    <w:p>
      <w:pPr>
        <w:numPr>
          <w:ilvl w:val="1"/>
          <w:numId w:val="1003"/>
        </w:numPr>
        <w:pStyle w:val="Compact"/>
      </w:pPr>
      <w:r>
        <w:t xml:space="preserve">6.4.3　資料庫與中介軟體</w:t>
      </w:r>
    </w:p>
    <w:p>
      <w:pPr>
        <w:numPr>
          <w:ilvl w:val="1"/>
          <w:numId w:val="1003"/>
        </w:numPr>
        <w:pStyle w:val="Compact"/>
      </w:pPr>
      <w:r>
        <w:t xml:space="preserve">6.4.4　應用框架與通訊</w:t>
      </w:r>
    </w:p>
    <w:p>
      <w:pPr>
        <w:numPr>
          <w:ilvl w:val="1"/>
          <w:numId w:val="1003"/>
        </w:numPr>
        <w:pStyle w:val="Compact"/>
      </w:pPr>
      <w:r>
        <w:t xml:space="preserve">6.4.5　監控與運維</w:t>
      </w:r>
    </w:p>
    <w:p>
      <w:pPr>
        <w:numPr>
          <w:ilvl w:val="0"/>
          <w:numId w:val="1001"/>
        </w:numPr>
        <w:pStyle w:val="Compact"/>
      </w:pPr>
      <w:r>
        <w:t xml:space="preserve">6.5　第三方元件列冊與合規聲明</w:t>
      </w:r>
    </w:p>
    <w:p>
      <w:pPr>
        <w:numPr>
          <w:ilvl w:val="1"/>
          <w:numId w:val="1004"/>
        </w:numPr>
        <w:pStyle w:val="Compact"/>
      </w:pPr>
      <w:r>
        <w:t xml:space="preserve">6.5.1　第三方元件合規總表</w:t>
      </w:r>
    </w:p>
    <w:p>
      <w:pPr>
        <w:numPr>
          <w:ilvl w:val="1"/>
          <w:numId w:val="1004"/>
        </w:numPr>
        <w:pStyle w:val="Compact"/>
      </w:pPr>
      <w:r>
        <w:t xml:space="preserve">6.5.2　大陸關聯元件合規分析</w:t>
      </w:r>
    </w:p>
    <w:p>
      <w:pPr>
        <w:numPr>
          <w:ilvl w:val="0"/>
          <w:numId w:val="1001"/>
        </w:numPr>
        <w:pStyle w:val="Compact"/>
      </w:pPr>
      <w:r>
        <w:t xml:space="preserve">6.6　電力與散熱需求估算</w:t>
      </w:r>
    </w:p>
    <w:p>
      <w:pPr>
        <w:numPr>
          <w:ilvl w:val="1"/>
          <w:numId w:val="1005"/>
        </w:numPr>
        <w:pStyle w:val="Compact"/>
      </w:pPr>
      <w:r>
        <w:t xml:space="preserve">6.6.1　正式環境</w:t>
      </w:r>
    </w:p>
    <w:p>
      <w:pPr>
        <w:numPr>
          <w:ilvl w:val="1"/>
          <w:numId w:val="1005"/>
        </w:numPr>
        <w:pStyle w:val="Compact"/>
      </w:pPr>
      <w:r>
        <w:t xml:space="preserve">6.6.2　測試環境</w:t>
      </w:r>
    </w:p>
    <w:p>
      <w:pPr>
        <w:numPr>
          <w:ilvl w:val="1"/>
          <w:numId w:val="1005"/>
        </w:numPr>
        <w:pStyle w:val="Compact"/>
      </w:pPr>
      <w:r>
        <w:t xml:space="preserve">6.6.3　散熱與 UPS 需求</w:t>
      </w:r>
    </w:p>
    <w:p>
      <w:pPr>
        <w:numPr>
          <w:ilvl w:val="0"/>
          <w:numId w:val="1001"/>
        </w:numPr>
        <w:pStyle w:val="Compact"/>
      </w:pPr>
      <w:r>
        <w:t xml:space="preserve">6.7　系統架構圖 — 邏輯架構</w:t>
      </w:r>
    </w:p>
    <w:p>
      <w:pPr>
        <w:numPr>
          <w:ilvl w:val="1"/>
          <w:numId w:val="1006"/>
        </w:numPr>
        <w:pStyle w:val="Compact"/>
      </w:pPr>
      <w:r>
        <w:t xml:space="preserve">6.7.1　六層式架構全景</w:t>
      </w:r>
    </w:p>
    <w:p>
      <w:pPr>
        <w:numPr>
          <w:ilvl w:val="1"/>
          <w:numId w:val="1006"/>
        </w:numPr>
        <w:pStyle w:val="Compact"/>
      </w:pPr>
      <w:r>
        <w:t xml:space="preserve">6.7.2　GPU 資源分工</w:t>
      </w:r>
    </w:p>
    <w:p>
      <w:pPr>
        <w:numPr>
          <w:ilvl w:val="1"/>
          <w:numId w:val="1006"/>
        </w:numPr>
        <w:pStyle w:val="Compact"/>
      </w:pPr>
      <w:r>
        <w:t xml:space="preserve">6.7.3　十大子系統邊界</w:t>
      </w:r>
    </w:p>
    <w:p>
      <w:pPr>
        <w:numPr>
          <w:ilvl w:val="0"/>
          <w:numId w:val="1001"/>
        </w:numPr>
        <w:pStyle w:val="Compact"/>
      </w:pPr>
      <w:r>
        <w:t xml:space="preserve">6.8　系統架構圖 — 網路拓撲</w:t>
      </w:r>
    </w:p>
    <w:p>
      <w:pPr>
        <w:numPr>
          <w:ilvl w:val="1"/>
          <w:numId w:val="1007"/>
        </w:numPr>
        <w:pStyle w:val="Compact"/>
      </w:pPr>
      <w:r>
        <w:t xml:space="preserve">6.8.1　VLAN 隔離設計</w:t>
      </w:r>
    </w:p>
    <w:p>
      <w:pPr>
        <w:numPr>
          <w:ilvl w:val="1"/>
          <w:numId w:val="1007"/>
        </w:numPr>
        <w:pStyle w:val="Compact"/>
      </w:pPr>
      <w:r>
        <w:t xml:space="preserve">6.8.2　HA 雙機網路配置</w:t>
      </w:r>
    </w:p>
    <w:p>
      <w:pPr>
        <w:numPr>
          <w:ilvl w:val="1"/>
          <w:numId w:val="1007"/>
        </w:numPr>
        <w:pStyle w:val="Compact"/>
      </w:pPr>
      <w:r>
        <w:t xml:space="preserve">6.8.3　正式環境網路拓撲概要</w:t>
      </w:r>
    </w:p>
    <w:p>
      <w:pPr>
        <w:numPr>
          <w:ilvl w:val="0"/>
          <w:numId w:val="1001"/>
        </w:numPr>
        <w:pStyle w:val="Compact"/>
      </w:pPr>
      <w:r>
        <w:t xml:space="preserve">6.9　系統架構圖 — SIP/RTP 信令流程</w:t>
      </w:r>
    </w:p>
    <w:p>
      <w:pPr>
        <w:numPr>
          <w:ilvl w:val="1"/>
          <w:numId w:val="1008"/>
        </w:numPr>
        <w:pStyle w:val="Compact"/>
      </w:pPr>
      <w:r>
        <w:t xml:space="preserve">6.9.1　E1 語音通話信令序列</w:t>
      </w:r>
    </w:p>
    <w:p>
      <w:pPr>
        <w:numPr>
          <w:ilvl w:val="1"/>
          <w:numId w:val="1008"/>
        </w:numPr>
        <w:pStyle w:val="Compact"/>
      </w:pPr>
      <w:r>
        <w:t xml:space="preserve">6.9.2　WebCall SBC 雙備援 Failover</w:t>
      </w:r>
    </w:p>
    <w:p>
      <w:pPr>
        <w:pStyle w:val="Heading2"/>
      </w:pPr>
      <w:bookmarkStart w:id="22" w:name="文件概述與適用範圍"/>
      <w:r>
        <w:t xml:space="preserve">6.1　文件概述與適用範圍</w:t>
      </w:r>
      <w:bookmarkEnd w:id="22"/>
    </w:p>
    <w:p>
      <w:pPr>
        <w:pStyle w:val="FirstParagraph"/>
      </w:pPr>
      <w:r>
        <w:t xml:space="preserve">本章完整列冊台鐵 AI 客服系統正式環境與測試環境之全部軟硬體項目，包含：硬體交貨清單（契約規格 vs. 實配對照）、產品規格佐證資料清單、軟體授權證明、第三方元件列冊，以及邏輯架構、實體部署與網路拓撲之系統架構圖。</w:t>
      </w:r>
    </w:p>
    <w:p>
      <w:pPr>
        <w:pStyle w:val="BodyText"/>
      </w:pPr>
      <w:r>
        <w:t xml:space="preserve">本文件對應第二章 §2.1 六層式架構（AD-001）與第三章 §3.9 部署架構設計，所有數字與規格均引用自 decisions.yaml 單一真實來源。</w:t>
      </w:r>
    </w:p>
    <w:p>
      <w:pPr>
        <w:pStyle w:val="BodyText"/>
      </w:pPr>
      <w:r>
        <w:rPr>
          <w:b/>
        </w:rPr>
        <w:t xml:space="preserve">適用原則：</w:t>
      </w:r>
    </w:p>
    <w:p>
      <w:pPr>
        <w:numPr>
          <w:ilvl w:val="0"/>
          <w:numId w:val="1009"/>
        </w:numPr>
        <w:pStyle w:val="Compact"/>
      </w:pPr>
      <w:r>
        <w:t xml:space="preserve">所有設備須為決標日前 1 年內出產之新品</w:t>
      </w:r>
    </w:p>
    <w:p>
      <w:pPr>
        <w:numPr>
          <w:ilvl w:val="0"/>
          <w:numId w:val="1009"/>
        </w:numPr>
        <w:pStyle w:val="Compact"/>
      </w:pPr>
      <w:r>
        <w:t xml:space="preserve">禁止大陸地區品牌及大陸地區製造之軟硬體</w:t>
      </w:r>
    </w:p>
    <w:p>
      <w:pPr>
        <w:numPr>
          <w:ilvl w:val="0"/>
          <w:numId w:val="1009"/>
        </w:numPr>
        <w:pStyle w:val="Compact"/>
      </w:pPr>
      <w:r>
        <w:t xml:space="preserve">電源供應器一律冗餘設計（RPS）</w:t>
      </w:r>
    </w:p>
    <w:p>
      <w:pPr>
        <w:numPr>
          <w:ilvl w:val="0"/>
          <w:numId w:val="1009"/>
        </w:numPr>
        <w:pStyle w:val="Compact"/>
      </w:pPr>
      <w:r>
        <w:t xml:space="preserve">AI 伺服器應保留擴充空間與介面</w:t>
      </w:r>
    </w:p>
    <w:p>
      <w:pPr>
        <w:numPr>
          <w:ilvl w:val="0"/>
          <w:numId w:val="1009"/>
        </w:numPr>
        <w:pStyle w:val="Compact"/>
      </w:pPr>
      <w:r>
        <w:t xml:space="preserve">合約期限內（含保固）零件供應無虞</w:t>
      </w:r>
    </w:p>
    <w:p>
      <w:pPr>
        <w:pStyle w:val="Heading2"/>
      </w:pPr>
      <w:bookmarkStart w:id="23" w:name="正式環境硬體清單"/>
      <w:r>
        <w:t xml:space="preserve">6.2　正式環境硬體清單</w:t>
      </w:r>
      <w:bookmarkEnd w:id="23"/>
    </w:p>
    <w:p>
      <w:pPr>
        <w:pStyle w:val="Heading3"/>
      </w:pPr>
      <w:bookmarkStart w:id="24" w:name="硬體交貨清單對照表"/>
      <w:r>
        <w:t xml:space="preserve">6.2.1　硬體交貨清單對照表</w:t>
      </w:r>
      <w:bookmarkEnd w:id="24"/>
    </w:p>
    <w:p>
      <w:pPr>
        <w:pStyle w:val="FirstParagraph"/>
      </w:pPr>
      <w:r>
        <w:t xml:space="preserve">下表逐台逐項對照契約規格與實際配置，供驗收時逐項勾稽。</w:t>
      </w:r>
    </w:p>
    <w:p>
      <w:pPr>
        <w:pStyle w:val="BodyText"/>
      </w:pPr>
      <w:r>
        <w:rPr>
          <w:b/>
        </w:rPr>
        <w:t xml:space="preserve">表 A：設備基本資訊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8"/>
        <w:gridCol w:w="1782"/>
        <w:gridCol w:w="1188"/>
        <w:gridCol w:w="2574"/>
        <w:gridCol w:w="118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推薦品牌/型號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產地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Dell PowerEdge R660 或 HPE ProLiant DL360 Gen11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美國設計／台灣/墨西哥組裝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Dell PowerEdge R760xa 或 HPE ProLiant DL380a Gen11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美國設計／台灣組裝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管理/資安監控伺服器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Dell PowerEdge R660 或 HPE ProLiant DL360 Gen11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美國設計／台灣/墨西哥組裝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簡訊收發裝置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台灣品牌 SMS Gateway（4G LTE+，LTE 模組須為非大陸製造）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42U 標準機櫃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寬 ≥800mm，深 ≥1200mm，含理線架、PDU、風扇模組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台灣</w:t>
            </w:r>
          </w:p>
        </w:tc>
      </w:tr>
    </w:tbl>
    <w:p>
      <w:pPr>
        <w:pStyle w:val="BodyText"/>
      </w:pPr>
      <w:r>
        <w:t xml:space="preserve">（續上表，依項次對照）</w:t>
      </w:r>
    </w:p>
    <w:p>
      <w:pPr>
        <w:pStyle w:val="BodyText"/>
      </w:pPr>
      <w:r>
        <w:rPr>
          <w:b/>
        </w:rPr>
        <w:t xml:space="preserve">表 B：契約規格明細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200"/>
        <w:gridCol w:w="1200"/>
        <w:gridCol w:w="1440"/>
        <w:gridCol w:w="1200"/>
        <w:gridCol w:w="14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RAM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儲存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電源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≥2.2GHz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960GB SSD ×3（RAID-5）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800W RPS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≥3.0GHz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DDR5 128GB+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960GB SSD ×3（RAID-5）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L40S 48GB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1000W RPS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≥3.0GHz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960GB SSD ×3（RAID-5）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800W RPS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4（SMS）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無（內建 4G LTE 模組）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256GB+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LTE 模組內建電源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5（機櫃）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PDU 冗餘設計（詳見 §6.8.1）</w:t>
            </w:r>
          </w:p>
        </w:tc>
      </w:tr>
    </w:tbl>
    <w:p>
      <w:pPr>
        <w:pStyle w:val="BodyText"/>
      </w:pPr>
      <w:r>
        <w:rPr>
          <w:b/>
        </w:rPr>
        <w:t xml:space="preserve">附註：</w:t>
      </w:r>
    </w:p>
    <w:p>
      <w:pPr>
        <w:numPr>
          <w:ilvl w:val="0"/>
          <w:numId w:val="1010"/>
        </w:numPr>
        <w:pStyle w:val="Compact"/>
      </w:pPr>
      <w:r>
        <w:t xml:space="preserve">所有伺服器均配置 GbE ×4 網路介面與 BMC 遠端管理模組</w:t>
      </w:r>
    </w:p>
    <w:p>
      <w:pPr>
        <w:numPr>
          <w:ilvl w:val="0"/>
          <w:numId w:val="1010"/>
        </w:numPr>
        <w:pStyle w:val="Compact"/>
      </w:pPr>
      <w:r>
        <w:t xml:space="preserve">所有伺服器支援 RAID 0/1/5/6/10，本案採 RAID-5 配置</w:t>
      </w:r>
    </w:p>
    <w:p>
      <w:pPr>
        <w:numPr>
          <w:ilvl w:val="0"/>
          <w:numId w:val="1010"/>
        </w:numPr>
        <w:pStyle w:val="Compact"/>
      </w:pPr>
      <w:r>
        <w:t xml:space="preserve">SMS 裝置之 4G LTE 模組品牌與產地須於交貨時提供原廠證明，確認非大陸品牌/製造（如：採用 Sierra Wireless（加拿大）或 u-blox（瑞士）模組）</w:t>
      </w:r>
    </w:p>
    <w:p>
      <w:pPr>
        <w:pStyle w:val="Heading3"/>
      </w:pPr>
      <w:bookmarkStart w:id="25" w:name="gpu-同等品認定基準"/>
      <w:r>
        <w:t xml:space="preserve">6.2.2　GPU 同等品認定基準</w:t>
      </w:r>
      <w:bookmarkEnd w:id="25"/>
    </w:p>
    <w:p>
      <w:pPr>
        <w:pStyle w:val="FirstParagraph"/>
      </w:pPr>
      <w:r>
        <w:t xml:space="preserve">本案指定 NVIDIA L40S 48GB 或同等品，同等品須同時符合下列三項基準：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基準項目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最低要求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L40S 原廠規格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VRAM 容量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≥48GB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48GB GDDR6 ECC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FP16 推論效能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≥362 TFLOPS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362.05 TFLOPS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品牌/產地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非大陸品牌且非大陸製造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NVIDIA（美國設計／台灣製造）</w:t>
            </w:r>
          </w:p>
        </w:tc>
      </w:tr>
    </w:tbl>
    <w:p>
      <w:pPr>
        <w:pStyle w:val="BodyText"/>
      </w:pPr>
      <w:r>
        <w:t xml:space="preserve">同等品驗證方式：以 vLLM 引擎執行 Llama 3.1 8B AWQ 推論 benchmark，throughput 須達 L40S 基準值之 95% 以上。詳見 #01 工作計畫書 §1.10 同等品認定策略。</w:t>
      </w:r>
    </w:p>
    <w:p>
      <w:pPr>
        <w:pStyle w:val="Heading3"/>
      </w:pPr>
      <w:bookmarkStart w:id="26" w:name="產品規格佐證資料清單"/>
      <w:r>
        <w:t xml:space="preserve">6.2.3　產品規格佐證資料清單</w:t>
      </w:r>
      <w:bookmarkEnd w:id="26"/>
    </w:p>
    <w:p>
      <w:pPr>
        <w:pStyle w:val="FirstParagraph"/>
      </w:pPr>
      <w:r>
        <w:t xml:space="preserve">交貨時須隨附下列佐證資料，供驗收勾稽：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1440"/>
        <w:gridCol w:w="2160"/>
        <w:gridCol w:w="21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佐證項目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特別說明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原廠型錄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每台設備之官方產品規格書（PDF）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核對 CPU/RAM/Storage/GPU 是否符合契約規格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所有伺服器與設備均適用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產地證明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製造商出具之原產地證明書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確認非大陸地區製造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所有伺服器與設備均適用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SMS 裝置 LTE 模組產地證明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4G LTE 模組製造商與品牌證明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原廠 Certificate of Origin（COO）</w:t>
            </w:r>
            <w:r>
              <w:rPr>
                <w:rFonts w:ascii="Times New Roman" w:hAnsi="Times New Roman" w:eastAsia="標楷體"/>
                <w:sz w:val="20"/>
              </w:rPr>
              <w:t xml:space="preserve">，</w:t>
            </w:r>
            <w:r>
              <w:rPr>
                <w:rFonts w:ascii="Times New Roman" w:hAnsi="Times New Roman" w:eastAsia="標楷體"/>
                <w:b/>
                <w:sz w:val="20"/>
              </w:rPr>
              <w:t xml:space="preserve">確認模組品牌為 Sierra Wireless（加拿大）或 u-blox（瑞士）等非大陸品牌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必須於交貨前取得，缺此無法驗收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序號清冊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每台設備之序號（S/N）、MAC Address、BMC 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建立資產台帳，供保固追蹤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所有伺服器與設備均適用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出廠日期證明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原廠出廠證明或發票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確認為決標日前 1 年內新品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所有伺服器與設備均適用；SMS 裝置包含 LTE 模組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保固證明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原廠保固卡或代理商保固承諾書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確認合約期限內零件供應無虞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所有伺服器與設備均適用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效能報告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benchmark 測試報告（若採同等品）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驗證推論效能達 L40S 之 95%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 AI 伺服器適用</w:t>
            </w:r>
          </w:p>
        </w:tc>
      </w:tr>
    </w:tbl>
    <w:p>
      <w:pPr>
        <w:pStyle w:val="Heading2"/>
      </w:pPr>
      <w:bookmarkStart w:id="27" w:name="測試環境硬體清單"/>
      <w:r>
        <w:t xml:space="preserve">6.3　測試環境硬體清單</w:t>
      </w:r>
      <w:bookmarkEnd w:id="27"/>
    </w:p>
    <w:p>
      <w:pPr>
        <w:pStyle w:val="FirstParagraph"/>
      </w:pPr>
      <w:r>
        <w:rPr>
          <w:b/>
        </w:rPr>
        <w:t xml:space="preserve">表 A：設備基本資訊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推薦品牌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產地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Dell / HPE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Dell / HPE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測試裝置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同正式環境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42U 機櫃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寬 ≥800mm，深 ≥1200mm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（續上表，依項次對照）</w:t>
      </w:r>
    </w:p>
    <w:p>
      <w:pPr>
        <w:pStyle w:val="BodyText"/>
      </w:pPr>
      <w:r>
        <w:rPr>
          <w:b/>
        </w:rPr>
        <w:t xml:space="preserve">表 B：規格明細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RAM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儲存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電源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核心 ≥2.2GHz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600GB SAS ×3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800W RPS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核心 ≥2.2GHz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600GB SAS ×3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L40S ×1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1000W RPS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256GB+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測試環境採正式環境之縮減配置，CPU 核心數減半（16C→8C），GPU 單卡（2→1），足以驗證功能正確性與單路效能基線。壓力測試（30 路並行）須於正式環境執行。</w:t>
      </w:r>
    </w:p>
    <w:p>
      <w:pPr>
        <w:pStyle w:val="Heading2"/>
      </w:pPr>
      <w:bookmarkStart w:id="28" w:name="軟體清單與授權證明"/>
      <w:r>
        <w:t xml:space="preserve">6.4　軟體清單與授權證明</w:t>
      </w:r>
      <w:bookmarkEnd w:id="28"/>
    </w:p>
    <w:p>
      <w:pPr>
        <w:pStyle w:val="FirstParagraph"/>
      </w:pPr>
      <w:r>
        <w:t xml:space="preserve">本案技術選型全面採用開源方案（AD-008），契約到期後無授權費續約問題，可繼續使用到期前最後更新版本。</w:t>
      </w:r>
    </w:p>
    <w:p>
      <w:pPr>
        <w:pStyle w:val="Heading3"/>
      </w:pPr>
      <w:bookmarkStart w:id="29" w:name="系統軟體"/>
      <w:r>
        <w:t xml:space="preserve">6.4.1　系統軟體</w:t>
      </w:r>
      <w:bookmarkEnd w:id="2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授權費用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到期續用說明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Ubuntu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22.04 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作業系統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免費（Canonical 社群版）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社群版免費永久使用，LTS 安全更新至 2027 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Engine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24.0+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開源永久使用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2.20+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容器編排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開源永久使用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Container Toolkit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容器支援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開源永久使用</w:t>
            </w:r>
          </w:p>
        </w:tc>
      </w:tr>
    </w:tbl>
    <w:p>
      <w:pPr>
        <w:pStyle w:val="Heading3"/>
      </w:pPr>
      <w:bookmarkStart w:id="30" w:name="ai-框架與模型"/>
      <w:r>
        <w:t xml:space="preserve">6.4.2　AI 框架與模型</w:t>
      </w:r>
      <w:bookmarkEnd w:id="3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19"/>
        <w:gridCol w:w="1775"/>
        <w:gridCol w:w="819"/>
        <w:gridCol w:w="819"/>
        <w:gridCol w:w="1228"/>
        <w:gridCol w:w="1228"/>
        <w:gridCol w:w="122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軟體/模型名稱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授權費用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備案方案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 AWQ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大型語言模型（AD-004）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Llama 3.1 Community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70B-Instruct AWQ 4-bit（~36GB VRAM）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語音辨識引擎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社群 fork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模型（AD-003）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TTS（XTTS-v2）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語音合成（AD-003）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MeloTTS / Piper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中文向量嵌入模型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gte-large（thenlper，MIT 授權）</w:t>
            </w:r>
          </w:p>
        </w:tc>
      </w:tr>
    </w:tbl>
    <w:p>
      <w:pPr>
        <w:pStyle w:val="BodyText"/>
      </w:pPr>
      <w:r>
        <w:rPr>
          <w:b/>
        </w:rPr>
        <w:t xml:space="preserve">開源軟體風險管控：</w:t>
      </w:r>
      <w:r>
        <w:t xml:space="preserve"> </w:t>
      </w:r>
      <w:r>
        <w:t xml:space="preserve">Coqui AI 公司已於 2023 年底停業，XTTS-v2 模型以 MPL 2.0 授權開源，原始碼與模型權重可永久使用。備案方案 MeloTTS（MIT 授權）及 Piper（MIT 授權）已完成可行性驗證，必要時可於 2 週內完成切換。所有開源元件之原始碼納入第十一項交付物（原始程式碼光碟），確保台鐵保有完整原始碼副本。詳見 #01 工作計畫書 §1.8 開源軟體管理策略之備案方案矩陣。</w:t>
      </w:r>
    </w:p>
    <w:p>
      <w:pPr>
        <w:pStyle w:val="Heading3"/>
      </w:pPr>
      <w:bookmarkStart w:id="31" w:name="資料庫與中介軟體"/>
      <w:r>
        <w:t xml:space="preserve">6.4.3　資料庫與中介軟體</w:t>
      </w:r>
      <w:bookmarkEnd w:id="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授權費用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關聯式資料庫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License（類 BSD）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TimescaleDB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時序資料擴展（日誌/監控指標）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2.0（社群版）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向量資料庫（RAG 語意檢索）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快取（Session + 對話上下文）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BSD-3-Clause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</w:tbl>
    <w:p>
      <w:pPr>
        <w:pStyle w:val="Heading3"/>
      </w:pPr>
      <w:bookmarkStart w:id="32" w:name="應用框架與通訊"/>
      <w:r>
        <w:t xml:space="preserve">6.4.4　應用框架與通訊</w:t>
      </w:r>
      <w:bookmarkEnd w:id="3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授權費用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3.11+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後端開發語言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PSF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 Web 框架（REST + gRPC）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PJSIP（pjsua2）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通訊堆疊（AD-007）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GPL-2.0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 SSR 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Material UI（MUI）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企業級 UI 元件庫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 / 負載平衡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BSD-2-Clause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VRRP 心跳 / VIP 管理（AD-005）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GPL-2.0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</w:tbl>
    <w:p>
      <w:pPr>
        <w:pStyle w:val="Heading3"/>
      </w:pPr>
      <w:bookmarkStart w:id="33" w:name="監控與運維"/>
      <w:r>
        <w:t xml:space="preserve">6.4.5　監控與運維</w:t>
      </w:r>
      <w:bookmarkEnd w:id="3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授權費用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指標蒐集與告警引擎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最新穩定版（OSS 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AGPL-3.0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Loki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日誌聚合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AGPL-3.0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$0</w:t>
            </w:r>
          </w:p>
        </w:tc>
      </w:tr>
    </w:tbl>
    <w:p>
      <w:pPr>
        <w:pStyle w:val="Heading2"/>
      </w:pPr>
      <w:bookmarkStart w:id="34" w:name="第三方元件列冊與合規聲明"/>
      <w:r>
        <w:t xml:space="preserve">6.5　第三方元件列冊與合規聲明</w:t>
      </w:r>
      <w:bookmarkEnd w:id="34"/>
    </w:p>
    <w:p>
      <w:pPr>
        <w:pStyle w:val="Heading3"/>
      </w:pPr>
      <w:bookmarkStart w:id="35" w:name="第三方元件合規總表"/>
      <w:r>
        <w:t xml:space="preserve">6.5.1　第三方元件合規總表</w:t>
      </w:r>
      <w:bookmarkEnd w:id="3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開發組織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組織所在地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是否含大陸元件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Community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Platforms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XTTS-v2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AI（已停業，模型開源）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德國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Microsoft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UC Berkeley + 社群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Guillaume Klein + 社群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法國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Solutions GmbH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德國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Global Dev Group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國際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Ltd.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以色列/美國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GPL-2.0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Teluu Inc.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React / Next.js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18+ / 最新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/ Vercel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美國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Material UI（MUI）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MUI SAS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法國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</w:tbl>
    <w:p>
      <w:pPr>
        <w:pStyle w:val="Heading3"/>
      </w:pPr>
      <w:bookmarkStart w:id="36" w:name="大陸關聯元件合規分析"/>
      <w:r>
        <w:t xml:space="preserve">6.5.2　大陸關聯元件合規分析</w:t>
      </w:r>
      <w:bookmarkEnd w:id="36"/>
    </w:p>
    <w:p>
      <w:pPr>
        <w:pStyle w:val="FirstParagraph"/>
      </w:pPr>
      <w:r>
        <w:rPr>
          <w:b/>
        </w:rPr>
        <w:t xml:space="preserve">向量嵌入模型：</w:t>
      </w:r>
      <w:r>
        <w:t xml:space="preserve"> </w:t>
      </w:r>
      <w:r>
        <w:t xml:space="preserve">本案預設採用 multilingual-e5-large（Microsoft，美國，MIT 授權），部署於台鐵機房進行地端推論，無任何對外連線需求。原評估之 bge-large-zh-v1.5（北京智源，MIT 授權）因開發組織屬大陸地區，依契約§8(24)規定不予採用；如未來機關以書面同意函確認開源元件不適用該條款，可作為替代選項，切換僅需修改 Embedding 服務容器之模型路徑參數，預計 1 個工作日內完成。</w:t>
      </w:r>
    </w:p>
    <w:p>
      <w:pPr>
        <w:pStyle w:val="BodyText"/>
      </w:pPr>
      <w:r>
        <w:rPr>
          <w:b/>
        </w:rPr>
        <w:t xml:space="preserve">前端 UI 元件庫：</w:t>
      </w:r>
      <w:r>
        <w:t xml:space="preserve"> </w:t>
      </w:r>
      <w:r>
        <w:t xml:space="preserve">本案採用 Material UI（MUI，MUI SAS，法國，MIT 授權），以 npm 套件引入進行前端開發，所有前端程式碼經編譯後為靜態 JavaScript/CSS 檔案，部署於台鐵機房。原評估之 Ant Design（螞蟻集團，MIT 授權）因開發組織屬大陸地區，依契約§8(24)規定不予採用。</w:t>
      </w:r>
    </w:p>
    <w:p>
      <w:pPr>
        <w:pStyle w:val="Heading2"/>
      </w:pPr>
      <w:bookmarkStart w:id="37" w:name="電力與散熱需求估算"/>
      <w:r>
        <w:t xml:space="preserve">6.6　電力與散熱需求估算</w:t>
      </w:r>
      <w:bookmarkEnd w:id="37"/>
    </w:p>
    <w:p>
      <w:pPr>
        <w:pStyle w:val="FirstParagraph"/>
      </w:pPr>
      <w:r>
        <w:t xml:space="preserve">本節提供精確之電力與散熱數據，供台鐵機房環境評估。</w:t>
      </w:r>
    </w:p>
    <w:p>
      <w:pPr>
        <w:pStyle w:val="Heading3"/>
      </w:pPr>
      <w:bookmarkStart w:id="38" w:name="正式環境"/>
      <w:r>
        <w:t xml:space="preserve">6.6.1　正式環境</w:t>
      </w:r>
      <w:bookmarkEnd w:id="3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單台最大功耗（W）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合計功耗（W）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伺服器（含 L40S ×2，TDP 350W/卡）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~2,000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~800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管理/資安監控伺服器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~800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 + 網路設備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小計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7,500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含 20% 餘裕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~9,000</w:t>
            </w:r>
          </w:p>
        </w:tc>
      </w:tr>
    </w:tbl>
    <w:p>
      <w:pPr>
        <w:pStyle w:val="Heading3"/>
      </w:pPr>
      <w:bookmarkStart w:id="39" w:name="測試環境"/>
      <w:r>
        <w:t xml:space="preserve">6.6.2　測試環境</w:t>
      </w:r>
      <w:bookmarkEnd w:id="3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合計功耗（W）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測試伺服器（含 L40S ×1）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~1,500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測試裝置 + 網路設備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小計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~2,300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含 20% 餘裕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~2,800</w:t>
            </w:r>
          </w:p>
        </w:tc>
      </w:tr>
    </w:tbl>
    <w:p>
      <w:pPr>
        <w:pStyle w:val="Heading3"/>
      </w:pPr>
      <w:bookmarkStart w:id="40" w:name="散熱與-ups-需求"/>
      <w:r>
        <w:t xml:space="preserve">6.6.3　散熱與 UPS 需求</w:t>
      </w:r>
      <w:bookmarkEnd w:id="4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正式環境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測試環境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散熱需求（BTU/hr）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~30,700（9,000W × 3.412）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~9,600（2,800W × 3.412）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建議 UPS 容量（kVA）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≥12 kVA（含 20% 餘裕）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≥4 kVA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電力迴路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建議獨立 220V/30A 迴路 ×2（互為備援）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獨立 220V/20A 迴路 ×1</w:t>
            </w:r>
          </w:p>
        </w:tc>
      </w:tr>
    </w:tbl>
    <w:p>
      <w:pPr>
        <w:pStyle w:val="BodyText"/>
      </w:pPr>
      <w:r>
        <w:t xml:space="preserve">機房環境需求已納入第一章工作計畫書之機關配合事項，須於 D+30 前與台鐵機房管理單位確認電力餘裕與空調容量。</w:t>
      </w:r>
    </w:p>
    <w:p>
      <w:pPr>
        <w:pStyle w:val="Heading2"/>
      </w:pPr>
      <w:bookmarkStart w:id="41" w:name="系統架構圖-邏輯架構"/>
      <w:r>
        <w:t xml:space="preserve">6.7　系統架構圖 — 邏輯架構</w:t>
      </w:r>
      <w:bookmarkEnd w:id="41"/>
    </w:p>
    <w:p>
      <w:pPr>
        <w:pStyle w:val="Heading3"/>
      </w:pPr>
      <w:bookmarkStart w:id="42" w:name="六層式架構全景"/>
      <w:r>
        <w:t xml:space="preserve">6.7.1　六層式架構全景</w:t>
      </w:r>
      <w:bookmarkEnd w:id="42"/>
    </w:p>
    <w:p>
      <w:pPr>
        <w:pStyle w:val="FirstParagraph"/>
      </w:pPr>
      <w:r>
        <w:t xml:space="preserve">本系統採六層式架構（AD-001），由下而上為：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第六層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旅客（PSTN/WebCall/App）、值機員（WS）、督導、管理者（ADM）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各類使用者透過不同通道存取系統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第五層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通道接入層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E1 VoIP GW、WebCall SBC（雙備援）、CRM GW、行政交換機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語音與文字通道之接入閘道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服務層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AI-IVR、STT、TTS、LLM（vLLM）、AI-Agent、AI-QI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核心服務模組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資料管理層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PostgreSQL、Qdrant、Redis、知識庫管理、對話紀錄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結構化與非結構化資料儲存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平台安全層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RBAC、AD/LDAP、TLS、日誌稽核、個資去識別化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存取控制與資安防護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基礎設施層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伺服器、GPU、Docker、網路（VLAN）、儲存（RAID-5）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硬體與虛擬化基礎設施</w:t>
            </w:r>
          </w:p>
        </w:tc>
      </w:tr>
    </w:tbl>
    <w:p>
      <w:pPr>
        <w:pStyle w:val="CaptionedFigure"/>
      </w:pPr>
      <w:r>
        <w:drawing>
          <wp:inline>
            <wp:extent cx="5499100" cy="2580520"/>
            <wp:effectExtent b="0" l="0" r="0" t="0"/>
            <wp:docPr descr="06_fig1" title="" id="1" name="Picture"/>
            <a:graphic>
              <a:graphicData uri="http://schemas.openxmlformats.org/drawingml/2006/picture">
                <pic:pic>
                  <pic:nvPicPr>
                    <pic:cNvPr descr="/Users/haofu/Documents/台鐵/pipeline/output_docx/images/06_fig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8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06_fig1</w:t>
      </w:r>
    </w:p>
    <w:p>
      <w:pPr>
        <w:pStyle w:val="BodyText"/>
      </w:pPr>
      <w:r>
        <w:rPr>
          <w:b/>
        </w:rPr>
        <w:t xml:space="preserve">圖 6.7.1　六層式架構全景圖</w:t>
      </w:r>
    </w:p>
    <w:p>
      <w:pPr>
        <w:pStyle w:val="BodyText"/>
      </w:pPr>
      <w:r>
        <w:t xml:space="preserve">此分層設計將 AI 模組與既有系統完全隔離，AI-IVR 透過 SIP/RTP fork 被動接收語音流（AD-007），不修改 MES Server 任何設定，達成零衝擊介接目標。</w:t>
      </w:r>
    </w:p>
    <w:p>
      <w:pPr>
        <w:pStyle w:val="Heading3"/>
      </w:pPr>
      <w:bookmarkStart w:id="44" w:name="gpu-資源分工"/>
      <w:r>
        <w:t xml:space="preserve">6.7.2　GPU 資源分工</w:t>
      </w:r>
      <w:bookmarkEnd w:id="44"/>
    </w:p>
    <w:p>
      <w:pPr>
        <w:pStyle w:val="FirstParagraph"/>
      </w:pPr>
      <w:r>
        <w:t xml:space="preserve">依 AD-002 決策，雙卡 GPU 採專責分工避免資源搶奪：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2036"/>
        <w:gridCol w:w="3394"/>
        <w:gridCol w:w="135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專責任務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預估 VRAM 佔用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#0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推論（vLLM + Llama 3.1 8B AWQ）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模型權重 ~8GB + KV Cache 動態分配，峰值 ~42GB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專責即時推論，確保 ≤5 秒回應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#1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Embedding（multilingual-e5-large）+ AI-QI 批次分析 + 擴充預留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~1.3GB + ~8GB + 預留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批次任務與預留空間</w:t>
            </w:r>
          </w:p>
        </w:tc>
      </w:tr>
    </w:tbl>
    <w:p>
      <w:pPr>
        <w:pStyle w:val="CaptionedFigure"/>
      </w:pPr>
      <w:r>
        <w:drawing>
          <wp:inline>
            <wp:extent cx="5499100" cy="1133895"/>
            <wp:effectExtent b="0" l="0" r="0" t="0"/>
            <wp:docPr descr="06_fig2" title="" id="1" name="Picture"/>
            <a:graphic>
              <a:graphicData uri="http://schemas.openxmlformats.org/drawingml/2006/picture">
                <pic:pic>
                  <pic:nvPicPr>
                    <pic:cNvPr descr="/Users/haofu/Documents/台鐵/pipeline/output_docx/images/06_fig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13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06_fig2</w:t>
      </w:r>
    </w:p>
    <w:p>
      <w:pPr>
        <w:pStyle w:val="BodyText"/>
      </w:pPr>
      <w:r>
        <w:rPr>
          <w:b/>
        </w:rPr>
        <w:t xml:space="preserve">圖 6.7.2　GPU / CPU 資源分工圖</w:t>
      </w:r>
    </w:p>
    <w:p>
      <w:pPr>
        <w:pStyle w:val="BodyText"/>
      </w:pPr>
      <w:r>
        <w:t xml:space="preserve">STT（faster-whisper）與 TTS（XTTS-v2）均以 CPU 推論（AD-003），部署於 AI-IVR 伺服器，不佔用 GPU 資源。30 路 STT 串流推論約需 9 個 CPU 核心，AI-IVR 伺服器配置 32 核心，餘裕充足。</w:t>
      </w:r>
    </w:p>
    <w:p>
      <w:pPr>
        <w:pStyle w:val="Heading3"/>
      </w:pPr>
      <w:bookmarkStart w:id="46" w:name="十大子系統邊界"/>
      <w:r>
        <w:t xml:space="preserve">6.7.3　十大子系統邊界</w:t>
      </w:r>
      <w:bookmarkEnd w:id="4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子系統代碼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部署位置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主要資料流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智慧語音應答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語音 → STT → LLM → TTS → RTP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伺服器（CPU）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語音串流 → 文字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伺服器（CPU）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 → 語音串流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大型語言模型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伺服器（GPU #0）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查詢文字 → 回應文字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虛擬客服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GW 文字 → LLM → 回應文字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簡訊收發 + AI 自動回覆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智慧質檢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伺服器（GPU #1）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錄音 → STT → 分析報告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 + AI 知識輔助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系統設定 + 監控儀表板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查詢及報表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統計分析 + 匯出報表</w:t>
            </w:r>
          </w:p>
        </w:tc>
      </w:tr>
    </w:tbl>
    <w:p>
      <w:pPr>
        <w:pStyle w:val="Heading2"/>
      </w:pPr>
      <w:bookmarkStart w:id="47" w:name="系統架構圖-網路拓撲"/>
      <w:r>
        <w:t xml:space="preserve">6.8　系統架構圖 — 網路拓撲</w:t>
      </w:r>
      <w:bookmarkEnd w:id="47"/>
    </w:p>
    <w:p>
      <w:pPr>
        <w:pStyle w:val="Heading3"/>
      </w:pPr>
      <w:bookmarkStart w:id="48" w:name="vlan-隔離設計"/>
      <w:r>
        <w:t xml:space="preserve">6.8.1　VLAN 隔離設計</w:t>
      </w:r>
      <w:bookmarkEnd w:id="48"/>
    </w:p>
    <w:p>
      <w:pPr>
        <w:pStyle w:val="FirstParagraph"/>
      </w:pPr>
      <w:r>
        <w:t xml:space="preserve">依循第二章 §2.13 網路安全設計，正式環境採五段式 VLAN 隔離（AD-001）：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涵蓋範圍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存取規則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VLAN-SIP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語音信令與媒體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伺服器、E1 Gateway、WebCall SBC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SIP/RTP 埠號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推論與資料處理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伺服器、Qdrant、Redis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gRPC/API 內部埠號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VLAN-MGMT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管理與監控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管理伺服器、Prometheus/Grafana、BMC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BMC IPMI + 管理 API，僅限管理者 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VLAN-DMZ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對外服務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反向代理、Web 前端、CRM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HTTPS 443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PostgreSQL、備份儲存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DB 連線埠</w:t>
            </w:r>
          </w:p>
        </w:tc>
      </w:tr>
    </w:tbl>
    <w:p>
      <w:pPr>
        <w:pStyle w:val="CaptionedFigure"/>
      </w:pPr>
      <w:r>
        <w:drawing>
          <wp:inline>
            <wp:extent cx="5499100" cy="2062162"/>
            <wp:effectExtent b="0" l="0" r="0" t="0"/>
            <wp:docPr descr="06_fig3" title="" id="1" name="Picture"/>
            <a:graphic>
              <a:graphicData uri="http://schemas.openxmlformats.org/drawingml/2006/picture">
                <pic:pic>
                  <pic:nvPicPr>
                    <pic:cNvPr descr="/Users/haofu/Documents/台鐵/pipeline/output_docx/images/06_fig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06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06_fig3</w:t>
      </w:r>
    </w:p>
    <w:p>
      <w:pPr>
        <w:pStyle w:val="BodyText"/>
      </w:pPr>
      <w:r>
        <w:rPr>
          <w:b/>
        </w:rPr>
        <w:t xml:space="preserve">圖 6.8.1　VLAN 五段式網路隔離架構圖</w:t>
      </w:r>
    </w:p>
    <w:p>
      <w:pPr>
        <w:pStyle w:val="BodyText"/>
      </w:pPr>
      <w:r>
        <w:t xml:space="preserve">跨 VLAN 存取須經防火牆規則控管，資料網段禁止直接對外連線。</w:t>
      </w:r>
    </w:p>
    <w:p>
      <w:pPr>
        <w:pStyle w:val="Heading3"/>
      </w:pPr>
      <w:bookmarkStart w:id="50" w:name="ha-雙機網路配置"/>
      <w:r>
        <w:t xml:space="preserve">6.8.2　HA 雙機網路配置</w:t>
      </w:r>
      <w:bookmarkEnd w:id="50"/>
    </w:p>
    <w:p>
      <w:pPr>
        <w:pStyle w:val="FirstParagraph"/>
      </w:pPr>
      <w:r>
        <w:t xml:space="preserve">依 AD-005 決策，正式環境採 Active-Active + Failover 架構：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8"/>
        <w:gridCol w:w="1218"/>
        <w:gridCol w:w="1827"/>
        <w:gridCol w:w="1827"/>
        <w:gridCol w:w="18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節點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負載分配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監控機制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切換條件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主機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50% 流量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 VRRP 心跳 + VIP（虛擬 IP）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故障偵測至 VIP 漂移 ≤5 秒，存活機承載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主機 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50% 流量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 VRRP 心跳 + VIP（虛擬 IP）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故障偵測至 VIP 漂移 ≤5 秒，存活機承載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雙機共享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雙機間 Session 持久化同步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任一台故障不遺失對話上下文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/>
        </w:rPr>
        <w:t xml:space="preserve">正常運作：</w:t>
      </w:r>
      <w:r>
        <w:t xml:space="preserve"> </w:t>
      </w:r>
      <w:r>
        <w:t xml:space="preserve">雙機各承載 50% 流量，SIP 層以 Round-Robin 分配新通話，HTTP 層以 Nginx 反向代理負載平衡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故障切換：</w:t>
      </w:r>
      <w:r>
        <w:t xml:space="preserve"> </w:t>
      </w:r>
      <w:r>
        <w:t xml:space="preserve">Keepalived VRRP 心跳偵測間隔 ≤2 秒，故障偵測至 VIP 漂移完成 ≤5 秒，存活機自動承載 100% 流量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Session 持久化：</w:t>
      </w:r>
      <w:r>
        <w:t xml:space="preserve"> </w:t>
      </w:r>
      <w:r>
        <w:t xml:space="preserve">Redis 共享 Session 存取，任一台故障不遺失對話上下文</w:t>
      </w:r>
    </w:p>
    <w:p>
      <w:pPr>
        <w:numPr>
          <w:ilvl w:val="0"/>
          <w:numId w:val="1011"/>
        </w:numPr>
        <w:pStyle w:val="Compact"/>
      </w:pPr>
      <w:r>
        <w:t xml:space="preserve">系統異常時可立即切換為人工客服系統，AI-IVR 停止介入不影響 MES 原始通話路徑</w:t>
      </w:r>
    </w:p>
    <w:p>
      <w:pPr>
        <w:pStyle w:val="Heading3"/>
      </w:pPr>
      <w:bookmarkStart w:id="51" w:name="正式環境網路拓撲概要"/>
      <w:r>
        <w:t xml:space="preserve">6.8.3　正式環境網路拓撲概要</w:t>
      </w:r>
      <w:bookmarkEnd w:id="5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來源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中繼設備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協定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PSTN（旅客撥入）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 → 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AI-IVR（×2, HA）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fork（被動複製）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WebCall（網頁通話）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SBC（×2, 備援） → 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AI-IVR（×2, HA）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行政分機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類比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GW（G.711） → 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AI-IVR（×2, HA）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內部網路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伺服器（×2, HA）[LLM/Agent/QI]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內部網路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管理伺服器（×2, HA）[WS/ADM/RPT]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 + 管理伺服器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內部網路（VLAN-DB）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資料層（PostgreSQL / Qdrant / Redis）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→ 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REST/WebSocket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裝置（×2）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4G LTE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AI-Agent（自動回覆同步通知值機平台）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4G LTE</w:t>
            </w:r>
          </w:p>
        </w:tc>
      </w:tr>
    </w:tbl>
    <w:p>
      <w:pPr>
        <w:pStyle w:val="CaptionedFigure"/>
      </w:pPr>
      <w:r>
        <w:drawing>
          <wp:inline>
            <wp:extent cx="5499100" cy="1639512"/>
            <wp:effectExtent b="0" l="0" r="0" t="0"/>
            <wp:docPr descr="06_fig4" title="" id="1" name="Picture"/>
            <a:graphic>
              <a:graphicData uri="http://schemas.openxmlformats.org/drawingml/2006/picture">
                <pic:pic>
                  <pic:nvPicPr>
                    <pic:cNvPr descr="/Users/haofu/Documents/台鐵/pipeline/output_docx/images/06_fig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63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06_fig4</w:t>
      </w:r>
    </w:p>
    <w:p>
      <w:pPr>
        <w:pStyle w:val="BodyText"/>
      </w:pPr>
      <w:r>
        <w:rPr>
          <w:b/>
        </w:rPr>
        <w:t xml:space="preserve">圖 6.8.3　正式環境網路拓撲全景圖</w:t>
      </w:r>
    </w:p>
    <w:p>
      <w:pPr>
        <w:pStyle w:val="BodyText"/>
      </w:pPr>
      <w:r>
        <w:t xml:space="preserve">AI-IVR 以 RTP fork 方式被動接收語音流，不攔截、不修改原始通話路徑，MES Server 無需任何設定變更。</w:t>
      </w:r>
    </w:p>
    <w:p>
      <w:pPr>
        <w:pStyle w:val="Heading2"/>
      </w:pPr>
      <w:bookmarkStart w:id="53" w:name="系統架構圖-siprtp-信令流程"/>
      <w:r>
        <w:t xml:space="preserve">6.9　系統架構圖 — SIP/RTP 信令流程</w:t>
      </w:r>
      <w:bookmarkEnd w:id="53"/>
    </w:p>
    <w:p>
      <w:pPr>
        <w:pStyle w:val="Heading3"/>
      </w:pPr>
      <w:bookmarkStart w:id="54" w:name="e1-語音通話信令序列"/>
      <w:r>
        <w:t xml:space="preserve">6.9.1　E1 語音通話信令序列</w:t>
      </w:r>
      <w:bookmarkEnd w:id="54"/>
    </w:p>
    <w:p>
      <w:pPr>
        <w:pStyle w:val="FirstParagraph"/>
      </w:pPr>
      <w:r>
        <w:t xml:space="preserve">詳細 SIP 信令交換時序如下，對應 AD-007 決策與第二章 §2.9 語音整合架構：</w:t>
      </w:r>
    </w:p>
    <w:p>
      <w:pPr>
        <w:pStyle w:val="CaptionedFigure"/>
      </w:pPr>
      <w:r>
        <w:drawing>
          <wp:inline>
            <wp:extent cx="5499100" cy="5643079"/>
            <wp:effectExtent b="0" l="0" r="0" t="0"/>
            <wp:docPr descr="06_fig5" title="" id="1" name="Picture"/>
            <a:graphic>
              <a:graphicData uri="http://schemas.openxmlformats.org/drawingml/2006/picture">
                <pic:pic>
                  <pic:nvPicPr>
                    <pic:cNvPr descr="/Users/haofu/Documents/台鐵/pipeline/output_docx/images/06_fig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564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06_fig5</w:t>
      </w:r>
    </w:p>
    <w:p>
      <w:pPr>
        <w:pStyle w:val="BodyText"/>
      </w:pPr>
      <w:r>
        <w:rPr>
          <w:b/>
        </w:rPr>
        <w:t xml:space="preserve">圖 6.9.1　E1 語音通話 SIP/RTP 信令時序圖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發送方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接收方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訊息/媒體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旅客（PSTN）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撥入（E1）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旅客透過 PSTN 撥入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INVITE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發起 SIP 通話請求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 Trying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通話處理中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通話建立成功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確認通話建立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 ↔ VoIP Gateway ↔ 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（雙向）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雙向語音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語音通話進行中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fork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被動複製語音流，不攔截不修改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（內部處理）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 → LLM 推論 → TTS 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語音辨識、推論與合成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回應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合成語音回傳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 ↔ 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回應播放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語音回應播放給旅客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BYE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結束通話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確認通話結束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BYE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通知 AI-IVR 通話結束</w:t>
            </w:r>
          </w:p>
        </w:tc>
      </w:tr>
    </w:tbl>
    <w:p>
      <w:pPr>
        <w:pStyle w:val="Heading3"/>
      </w:pPr>
      <w:bookmarkStart w:id="56" w:name="webcall-sbc-雙備援-failover"/>
      <w:r>
        <w:t xml:space="preserve">6.9.2　WebCall SBC 雙備援 Failover</w:t>
      </w:r>
      <w:bookmarkEnd w:id="56"/>
    </w:p>
    <w:p>
      <w:pPr>
        <w:pStyle w:val="FirstParagraph"/>
      </w:pPr>
      <w:r>
        <w:t xml:space="preserve">AI-IVR 之 SIP UA 同時向主備兩台 SBC 註冊，當主 SBC 故障時自動切換：</w:t>
      </w:r>
    </w:p>
    <w:p>
      <w:pPr>
        <w:pStyle w:val="CaptionedFigure"/>
      </w:pPr>
      <w:r>
        <w:drawing>
          <wp:inline>
            <wp:extent cx="5499100" cy="6852371"/>
            <wp:effectExtent b="0" l="0" r="0" t="0"/>
            <wp:docPr descr="06_fig6" title="" id="1" name="Picture"/>
            <a:graphic>
              <a:graphicData uri="http://schemas.openxmlformats.org/drawingml/2006/picture">
                <pic:pic>
                  <pic:nvPicPr>
                    <pic:cNvPr descr="/Users/haofu/Documents/台鐵/pipeline/output_docx/images/06_fig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685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06_fig6</w:t>
      </w:r>
    </w:p>
    <w:p>
      <w:pPr>
        <w:pStyle w:val="BodyText"/>
      </w:pPr>
      <w:r>
        <w:rPr>
          <w:b/>
        </w:rPr>
        <w:t xml:space="preserve">圖 6.9.2　WebCall SBC 雙備援 Failover 時序圖</w:t>
      </w:r>
    </w:p>
    <w:p>
      <w:pPr>
        <w:numPr>
          <w:ilvl w:val="0"/>
          <w:numId w:val="1012"/>
        </w:numPr>
        <w:pStyle w:val="Compact"/>
      </w:pPr>
      <w:r>
        <w:t xml:space="preserve">主 SBC 無回應超過 3 次 SIP OPTIONS 探測（間隔 5 秒），判定故障</w:t>
      </w:r>
    </w:p>
    <w:p>
      <w:pPr>
        <w:numPr>
          <w:ilvl w:val="0"/>
          <w:numId w:val="1012"/>
        </w:numPr>
        <w:pStyle w:val="Compact"/>
      </w:pPr>
      <w:r>
        <w:t xml:space="preserve">SIP UA 自動向備援 SBC 發起 REGISTER</w:t>
      </w:r>
    </w:p>
    <w:p>
      <w:pPr>
        <w:numPr>
          <w:ilvl w:val="0"/>
          <w:numId w:val="1012"/>
        </w:numPr>
        <w:pStyle w:val="Compact"/>
      </w:pPr>
      <w:r>
        <w:t xml:space="preserve">切換期間進行中的通話由 MES 維持，AI-IVR 僅遺失該通之 AI 輔助功能，不中斷通話本身</w:t>
      </w:r>
    </w:p>
    <w:p>
      <w:pPr>
        <w:numPr>
          <w:ilvl w:val="0"/>
          <w:numId w:val="1012"/>
        </w:numPr>
        <w:pStyle w:val="Compact"/>
      </w:pPr>
      <w:r>
        <w:t xml:space="preserve">SBC failover 具體機制（VIP-based 或 DNS-based）須於需求訪談階段與既有廠商確認</w:t>
      </w:r>
    </w:p>
    <w:p>
      <w:pPr>
        <w:pStyle w:val="Heading2"/>
      </w:pPr>
      <w:bookmarkStart w:id="58" w:name="sms-儲存容量估算"/>
      <w:r>
        <w:t xml:space="preserve">6.10　SMS 儲存容量估算</w:t>
      </w:r>
      <w:bookmarkEnd w:id="58"/>
    </w:p>
    <w:p>
      <w:pPr>
        <w:pStyle w:val="FirstParagraph"/>
      </w:pPr>
      <w:r>
        <w:t xml:space="preserve">依需求書要求，SMS 簡訊紀錄須保留 ≥5 年：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月均簡訊量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2,500 ~ 7,000 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年均簡訊量（取上限）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84,000 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年總量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420,000 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每則平均儲存大小（含 metadata）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 KB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年儲存需求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~840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裝置儲存容量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256GB+（餘裕 &gt;99%）</w:t>
            </w:r>
          </w:p>
        </w:tc>
      </w:tr>
    </w:tbl>
    <w:p>
      <w:pPr>
        <w:pStyle w:val="BodyText"/>
      </w:pPr>
      <w:r>
        <w:t xml:space="preserve">256GB 儲存空間對 5 年 SMS 資料保留綽綽有餘，額外空間可用於本機日誌備份。</w:t>
      </w:r>
    </w:p>
    <w:p>
      <w:pPr>
        <w:pStyle w:val="Heading2"/>
      </w:pPr>
      <w:bookmarkStart w:id="59" w:name="引用編號清單"/>
      <w:r>
        <w:t xml:space="preserve">6.11　引用編號清單</w:t>
      </w:r>
      <w:bookmarkEnd w:id="59"/>
    </w:p>
    <w:p>
      <w:pPr>
        <w:pStyle w:val="Heading3"/>
      </w:pPr>
      <w:bookmarkStart w:id="60" w:name="功能需求fr"/>
      <w:r>
        <w:t xml:space="preserve">功能需求（FR）</w:t>
      </w:r>
      <w:bookmarkEnd w:id="60"/>
    </w:p>
    <w:p>
      <w:pPr>
        <w:pStyle w:val="FirstParagraph"/>
      </w:pPr>
      <w:r>
        <w:t xml:space="preserve">FR-IVR-001、FR-IVR-002、FR-LLM-001、FR-AGT-001、FR-AGT-007、FR-QI-001</w:t>
      </w:r>
    </w:p>
    <w:p>
      <w:pPr>
        <w:pStyle w:val="Heading3"/>
      </w:pPr>
      <w:bookmarkStart w:id="61" w:name="測試案例tc"/>
      <w:r>
        <w:t xml:space="preserve">測試案例（TC）</w:t>
      </w:r>
      <w:bookmarkEnd w:id="61"/>
    </w:p>
    <w:p>
      <w:pPr>
        <w:pStyle w:val="FirstParagraph"/>
      </w:pPr>
      <w:r>
        <w:t xml:space="preserve">TC-IVR-001、TC-IVR-002、TC-LLM-001、TC-AGT-001、TC-AGT-007、TC-QI-001</w:t>
      </w:r>
    </w:p>
    <w:p>
      <w:pPr>
        <w:pStyle w:val="Heading3"/>
      </w:pPr>
      <w:bookmarkStart w:id="62" w:name="架構決策ad"/>
      <w:r>
        <w:t xml:space="preserve">架構決策（AD）</w:t>
      </w:r>
      <w:bookmarkEnd w:id="62"/>
    </w:p>
    <w:p>
      <w:pPr>
        <w:pStyle w:val="FirstParagraph"/>
      </w:pPr>
      <w:r>
        <w:t xml:space="preserve">AD-001（六層式架構）、AD-002（GPU 分工）、AD-003（STT/TTS CPU 推論）、AD-004（Llama 3.1 8B AWQ）、AD-005（HA Active-Active）、AD-006（Docker Compose 部署）、AD-007（SIP/RTP fork 介接）、AD-008（全開源技術選型）</w:t>
      </w:r>
    </w:p>
    <w:p>
      <w:pPr>
        <w:pStyle w:val="Heading3"/>
      </w:pPr>
      <w:bookmarkStart w:id="63" w:name="攻擊面防禦atk"/>
      <w:r>
        <w:t xml:space="preserve">攻擊面防禦（ATK）</w:t>
      </w:r>
      <w:bookmarkEnd w:id="63"/>
    </w:p>
    <w:p>
      <w:pPr>
        <w:pStyle w:val="FirstParagraph"/>
      </w:pPr>
      <w:r>
        <w:t xml:space="preserve">ATK-012（機房電力散熱/GPU 功耗 → §6.6）、ATK-015（開源授權/社群活躍度/備案方案 → §6.4.2）、ATK-021（SMS 裝置品牌產地 → §6.2.1 附註）、ATK-022（GPU 同等品認定 → §6.2.2）、ATK-024（文件格式合規 → 全文）</w:t>
      </w:r>
    </w:p>
    <w:p>
      <w:pPr>
        <w:pStyle w:val="BodyText"/>
      </w:pPr>
      <w:r>
        <w:rPr>
          <w:i/>
        </w:rPr>
        <w:t xml:space="preserve">本章引用之所有數字、規格與品牌推薦均來自 decisions.yaml 單一真實來源，未經四捨五入或改寫。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3" Type="http://schemas.openxmlformats.org/officeDocument/2006/relationships/image" Target="media/rId43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57" Type="http://schemas.openxmlformats.org/officeDocument/2006/relationships/image" Target="media/rId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2026-04-06T18:04:43Z</dcterms:created>
  <dcterms:modified xsi:type="dcterms:W3CDTF">2026-04-06T18:04:43Z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