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 Merriment He Wrote: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 merriment he wrote, “Thou undying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angel of repeated joyous trying,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Thou douses the coals of pain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feeds the flame of gain.”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Of merriment he wrote, “Thou pure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point of purpose. Your allure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holds me steady, awaiting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hedon thou art baiting.”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merriment he wrote, “Thou masks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need be my tasks,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pleasantly divert me,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reality to glee.”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Of merriment he wrote, “Thou master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of the cloak, thou pastor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of deceit. How can I trust you,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 illusion, whose vision is not true?”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Of merriment he wrote, “Thou art worthy to deplore,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thou art worthy to ignore,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thou art worthy to abhor.”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Of merriment he wrote, “I shall love thee nevermore.”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