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Worlds Apart: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‘Oh! land thou brings me great joy,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 fit for our ship’s deploy,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Sturdy rock to which we swimmeth,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the Lord; we dock in Plymouth!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dense can be, a field of green,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Stand there proud, tall and treen,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Betwixt Heaven and rooted Earth,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Thou art a cradle for our new birth!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let the wind take my voice,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newfound love and warm rejoice,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hills and plains that flood throughout: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“Mend my sprout and tend my spout!”’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oft was not twas received,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Across the land yet half-deceived,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a little girl who faced the breeze,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One of many Cherokees.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‘You are me and I am you,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grass is green and sky is blue,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 your ways, oh Nature teach,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Squeeze me; hold me in your reach!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live and die is all for naught,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one has yet not been taught,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Your summer spectral and autumn death,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Your winter relic and spring’s first breath!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Thus I give my heart to you,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 mind and manner, through and through,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hope that you will hear my shout: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“Tend my sprout and mend my spout!”’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