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Price Match Policy</w:t>
      </w:r>
    </w:p>
    <w:p>
      <w:r>
        <w:t>If you find the same item for less, we will match the price.</w:t>
      </w:r>
    </w:p>
    <w:p>
      <w:pPr>
        <w:pStyle w:val="ListBullet"/>
      </w:pPr>
      <w:r>
        <w:t>The request must be made within 14 days of purchase.</w:t>
      </w:r>
    </w:p>
    <w:p>
      <w:pPr>
        <w:pStyle w:val="ListBullet"/>
      </w:pPr>
      <w:r>
        <w:t>The lower price must be from an authorized retailer. Marketplace sellers (for example third-party sellers on large marketplaces) are not eligible.</w:t>
      </w:r>
    </w:p>
    <w:p>
      <w:pPr>
        <w:pStyle w:val="ListBullet"/>
      </w:pPr>
      <w:r>
        <w:t>The item must be identical: same brand, model, size and color, and in stock.</w:t>
      </w:r>
    </w:p>
    <w:p>
      <w:pPr>
        <w:pStyle w:val="ListBullet"/>
      </w:pPr>
      <w:r>
        <w:t>Price match cannot be combined with other promotions, discount codes or sale events.</w:t>
      </w:r>
    </w:p>
    <w:p>
      <w:r>
        <w:t>CS agents: issue the difference as a refund to the original payment method.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