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 Lane Goods - Return Policy (v3)</w:t>
      </w:r>
    </w:p>
    <w:p>
      <w:r>
        <w:t>Effective: 2026-04-15</w:t>
      </w:r>
    </w:p>
    <w:p>
      <w:pPr>
        <w:pStyle w:val="Heading2"/>
      </w:pPr>
      <w:r>
        <w:t>Time limit</w:t>
      </w:r>
    </w:p>
    <w:p>
      <w:r>
        <w:t>Unused items can be returned within 45 days of delivery, in original packaging.</w:t>
      </w:r>
    </w:p>
    <w:p>
      <w:pPr>
        <w:pStyle w:val="Heading2"/>
      </w:pPr>
      <w:r>
        <w:t>Return shipping</w:t>
      </w:r>
    </w:p>
    <w:p>
      <w:r>
        <w:t>We email a free prepaid return label for US orders over $100. For smaller orders, the customer pays return shipping.</w:t>
      </w:r>
    </w:p>
    <w:p>
      <w:r>
        <w:t>International customers (Canada) pay their own return shipping. The free label does not apply outside the US.</w:t>
      </w:r>
    </w:p>
    <w:p>
      <w:pPr>
        <w:pStyle w:val="Heading2"/>
      </w:pPr>
      <w:r>
        <w:t>Refunds</w:t>
      </w:r>
    </w:p>
    <w:p>
      <w:r>
        <w:t>Refunds go back to the original payment method within 5 business days after the warehouse checks the item.</w:t>
      </w:r>
    </w:p>
    <w:p>
      <w:pPr>
        <w:pStyle w:val="Heading2"/>
      </w:pPr>
      <w:r>
        <w:t>Not returnable</w:t>
      </w:r>
    </w:p>
    <w:p>
      <w:pPr>
        <w:pStyle w:val="ListBullet"/>
      </w:pPr>
      <w:r>
        <w:t>Custom or made-to-order furniture</w:t>
      </w:r>
    </w:p>
    <w:p>
      <w:pPr>
        <w:pStyle w:val="ListBullet"/>
      </w:pPr>
      <w:r>
        <w:t>Gift cards</w:t>
      </w:r>
    </w:p>
    <w:p>
      <w:pPr>
        <w:pStyle w:val="ListBullet"/>
      </w:pPr>
      <w:r>
        <w:t>Clearance items marked final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