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Lantern Lane Goods - Return Policy (v3)</w:t>
      </w:r>
    </w:p>
    <w:p>
      <w:r>
        <w:t>Effective: 2026-03-01</w:t>
      </w:r>
    </w:p>
    <w:p>
      <w:pPr>
        <w:pStyle w:val="Heading2"/>
      </w:pPr>
      <w:r>
        <w:t>Time limit</w:t>
      </w:r>
    </w:p>
    <w:p>
      <w:r>
        <w:t>Unused items can be returned within 45 days of delivery, in original packaging.</w:t>
      </w:r>
    </w:p>
    <w:p>
      <w:pPr>
        <w:pStyle w:val="Heading2"/>
      </w:pPr>
      <w:r>
        <w:t>Return shipping</w:t>
      </w:r>
    </w:p>
    <w:p>
      <w:r>
        <w:t>We email a free prepaid return label for orders over $75. For smaller orders, the customer pays return shipping.</w:t>
      </w:r>
    </w:p>
    <w:p>
      <w:pPr>
        <w:pStyle w:val="Heading2"/>
      </w:pPr>
      <w:r>
        <w:t>Not returnable</w:t>
      </w:r>
    </w:p>
    <w:p>
      <w:pPr>
        <w:pStyle w:val="ListBullet"/>
      </w:pPr>
      <w:r>
        <w:t>Custom or made-to-order furniture</w:t>
      </w:r>
    </w:p>
    <w:p>
      <w:pPr>
        <w:pStyle w:val="ListBullet"/>
      </w:pPr>
      <w:r>
        <w:t>Gift cards</w:t>
      </w:r>
    </w:p>
    <w:p>
      <w:pPr>
        <w:pStyle w:val="ListBullet"/>
      </w:pPr>
      <w:r>
        <w:t>Clearance items marked final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