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0698C9">
      <w:pPr>
        <w:pStyle w:val="26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Crest 经营看板与订单页方案汇编</w:t>
      </w:r>
    </w:p>
    <w:p w14:paraId="7554C16B">
      <w:pPr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本文件整理 4 版经营看板与 3 版订单页，供页面方向评审和后续设计落地使用。建议以经营总览作为默认看板，以订单总览作为默认订单页；其余版本分别服务门店跟进、变化分析和周期观察。</w:t>
      </w:r>
    </w:p>
    <w:p w14:paraId="39B0B8A6">
      <w:pPr>
        <w:pStyle w:val="4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版本目录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2"/>
        <w:gridCol w:w="2232"/>
        <w:gridCol w:w="4536"/>
        <w:gridCol w:w="2448"/>
      </w:tblGrid>
      <w:tr w14:paraId="060D8359">
        <w:trPr>
          <w:cantSplit/>
          <w:tblHeader/>
          <w:jc w:val="center"/>
        </w:trPr>
        <w:tc>
          <w:tcPr>
            <w:tcW w:w="1152" w:type="dxa"/>
            <w:shd w:val="clear" w:color="auto" w:fill="30363D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621BA28">
            <w:pPr>
              <w:spacing w:after="0" w:line="280" w:lineRule="exact"/>
              <w:jc w:val="center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color w:val="FFFFFF"/>
                <w:sz w:val="20"/>
              </w:rPr>
              <w:t>编号</w:t>
            </w:r>
          </w:p>
        </w:tc>
        <w:tc>
          <w:tcPr>
            <w:tcW w:w="2232" w:type="dxa"/>
            <w:shd w:val="clear" w:color="auto" w:fill="30363D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EDF7A81">
            <w:pPr>
              <w:spacing w:after="0" w:line="280" w:lineRule="exact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color w:val="FFFFFF"/>
                <w:sz w:val="20"/>
              </w:rPr>
              <w:t>版本</w:t>
            </w:r>
          </w:p>
        </w:tc>
        <w:tc>
          <w:tcPr>
            <w:tcW w:w="4536" w:type="dxa"/>
            <w:shd w:val="clear" w:color="auto" w:fill="30363D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A708063">
            <w:pPr>
              <w:spacing w:after="0" w:line="280" w:lineRule="exact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color w:val="FFFFFF"/>
                <w:sz w:val="20"/>
              </w:rPr>
              <w:t>主要问题</w:t>
            </w:r>
          </w:p>
        </w:tc>
        <w:tc>
          <w:tcPr>
            <w:tcW w:w="2448" w:type="dxa"/>
            <w:shd w:val="clear" w:color="auto" w:fill="30363D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7891C25">
            <w:pPr>
              <w:spacing w:after="0" w:line="280" w:lineRule="exact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color w:val="FFFFFF"/>
                <w:sz w:val="20"/>
              </w:rPr>
              <w:t>定位</w:t>
            </w:r>
          </w:p>
        </w:tc>
      </w:tr>
      <w:tr w14:paraId="4B0719AC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A8CB95E">
            <w:pPr>
              <w:spacing w:after="0" w:line="280" w:lineRule="exact"/>
              <w:jc w:val="center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20"/>
              </w:rPr>
              <w:t>看板 A</w:t>
            </w:r>
          </w:p>
        </w:tc>
        <w:tc>
          <w:tcPr>
            <w:tcW w:w="2232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7213B33">
            <w:pPr>
              <w:spacing w:after="0" w:line="280" w:lineRule="exact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20"/>
              </w:rPr>
              <w:t>经营总览</w:t>
            </w:r>
          </w:p>
        </w:tc>
        <w:tc>
          <w:tcPr>
            <w:tcW w:w="4536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1182DC6">
            <w:pPr>
              <w:spacing w:after="0" w:line="280" w:lineRule="exact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20"/>
              </w:rPr>
              <w:t>整体表现如何，下一步看哪里</w:t>
            </w:r>
          </w:p>
        </w:tc>
        <w:tc>
          <w:tcPr>
            <w:tcW w:w="2448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8132557">
            <w:pPr>
              <w:spacing w:after="0" w:line="280" w:lineRule="exact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20"/>
              </w:rPr>
              <w:t>默认看板</w:t>
            </w:r>
          </w:p>
        </w:tc>
      </w:tr>
      <w:tr w14:paraId="6D0F7C85">
        <w:trPr>
          <w:cantSplit/>
          <w:jc w:val="center"/>
        </w:trPr>
        <w:tc>
          <w:tcPr>
            <w:tcW w:w="1152" w:type="dxa"/>
            <w:shd w:val="clear" w:color="auto" w:fill="F3F5F7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4F60900">
            <w:pPr>
              <w:spacing w:after="0" w:line="280" w:lineRule="exact"/>
              <w:jc w:val="center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20"/>
              </w:rPr>
              <w:t>看板 B</w:t>
            </w:r>
          </w:p>
        </w:tc>
        <w:tc>
          <w:tcPr>
            <w:tcW w:w="2232" w:type="dxa"/>
            <w:shd w:val="clear" w:color="auto" w:fill="F3F5F7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483DDAB">
            <w:pPr>
              <w:spacing w:after="0" w:line="280" w:lineRule="exact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20"/>
              </w:rPr>
              <w:t>门店关注</w:t>
            </w:r>
          </w:p>
        </w:tc>
        <w:tc>
          <w:tcPr>
            <w:tcW w:w="4536" w:type="dxa"/>
            <w:shd w:val="clear" w:color="auto" w:fill="F3F5F7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181681A">
            <w:pPr>
              <w:spacing w:after="0" w:line="280" w:lineRule="exact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20"/>
              </w:rPr>
              <w:t>先跟进哪家门店，依据是什么</w:t>
            </w:r>
          </w:p>
        </w:tc>
        <w:tc>
          <w:tcPr>
            <w:tcW w:w="2448" w:type="dxa"/>
            <w:shd w:val="clear" w:color="auto" w:fill="F3F5F7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75F1C07">
            <w:pPr>
              <w:spacing w:after="0" w:line="280" w:lineRule="exact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20"/>
              </w:rPr>
              <w:t>区域负责人</w:t>
            </w:r>
          </w:p>
        </w:tc>
      </w:tr>
      <w:tr w14:paraId="3A90DB91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FC0DA27">
            <w:pPr>
              <w:spacing w:after="0" w:line="280" w:lineRule="exact"/>
              <w:jc w:val="center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20"/>
              </w:rPr>
              <w:t>看板 C</w:t>
            </w:r>
          </w:p>
        </w:tc>
        <w:tc>
          <w:tcPr>
            <w:tcW w:w="2232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8A5CB1F">
            <w:pPr>
              <w:spacing w:after="0" w:line="280" w:lineRule="exact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20"/>
              </w:rPr>
              <w:t>变化来源</w:t>
            </w:r>
          </w:p>
        </w:tc>
        <w:tc>
          <w:tcPr>
            <w:tcW w:w="4536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2A9DA16">
            <w:pPr>
              <w:spacing w:after="0" w:line="280" w:lineRule="exact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20"/>
              </w:rPr>
              <w:t>波动伴随单量还是每单实收变化</w:t>
            </w:r>
          </w:p>
        </w:tc>
        <w:tc>
          <w:tcPr>
            <w:tcW w:w="2448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346E88A">
            <w:pPr>
              <w:spacing w:after="0" w:line="280" w:lineRule="exact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20"/>
              </w:rPr>
              <w:t>经营分析</w:t>
            </w:r>
          </w:p>
        </w:tc>
      </w:tr>
      <w:tr w14:paraId="46C484D5">
        <w:trPr>
          <w:cantSplit/>
          <w:jc w:val="center"/>
        </w:trPr>
        <w:tc>
          <w:tcPr>
            <w:tcW w:w="1152" w:type="dxa"/>
            <w:shd w:val="clear" w:color="auto" w:fill="F3F5F7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C2CE58A">
            <w:pPr>
              <w:spacing w:after="0" w:line="280" w:lineRule="exact"/>
              <w:jc w:val="center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20"/>
              </w:rPr>
              <w:t>看板 D</w:t>
            </w:r>
          </w:p>
        </w:tc>
        <w:tc>
          <w:tcPr>
            <w:tcW w:w="2232" w:type="dxa"/>
            <w:shd w:val="clear" w:color="auto" w:fill="F3F5F7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C33328B">
            <w:pPr>
              <w:spacing w:after="0" w:line="280" w:lineRule="exact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20"/>
              </w:rPr>
              <w:t>经营日历热力图</w:t>
            </w:r>
          </w:p>
        </w:tc>
        <w:tc>
          <w:tcPr>
            <w:tcW w:w="4536" w:type="dxa"/>
            <w:shd w:val="clear" w:color="auto" w:fill="F3F5F7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82843A1">
            <w:pPr>
              <w:spacing w:after="0" w:line="280" w:lineRule="exact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20"/>
              </w:rPr>
              <w:t>哪些日期集中繁忙或偏淡</w:t>
            </w:r>
          </w:p>
        </w:tc>
        <w:tc>
          <w:tcPr>
            <w:tcW w:w="2448" w:type="dxa"/>
            <w:shd w:val="clear" w:color="auto" w:fill="F3F5F7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DFAF3A3">
            <w:pPr>
              <w:spacing w:after="0" w:line="280" w:lineRule="exact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20"/>
              </w:rPr>
              <w:t>周期观察</w:t>
            </w:r>
          </w:p>
        </w:tc>
      </w:tr>
      <w:tr w14:paraId="0DEB2784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B33D50F">
            <w:pPr>
              <w:spacing w:after="0" w:line="280" w:lineRule="exact"/>
              <w:jc w:val="center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20"/>
              </w:rPr>
              <w:t>订单 A</w:t>
            </w:r>
          </w:p>
        </w:tc>
        <w:tc>
          <w:tcPr>
            <w:tcW w:w="2232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052B685">
            <w:pPr>
              <w:spacing w:after="0" w:line="280" w:lineRule="exact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20"/>
              </w:rPr>
              <w:t>订单总览</w:t>
            </w:r>
          </w:p>
        </w:tc>
        <w:tc>
          <w:tcPr>
            <w:tcW w:w="4536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DF7700C">
            <w:pPr>
              <w:spacing w:after="0" w:line="280" w:lineRule="exact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20"/>
              </w:rPr>
              <w:t>整体单量及渠道结构如何变化</w:t>
            </w:r>
          </w:p>
        </w:tc>
        <w:tc>
          <w:tcPr>
            <w:tcW w:w="2448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63EB639">
            <w:pPr>
              <w:spacing w:after="0" w:line="280" w:lineRule="exact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20"/>
              </w:rPr>
              <w:t>默认订单页</w:t>
            </w:r>
          </w:p>
        </w:tc>
      </w:tr>
      <w:tr w14:paraId="68E4FF93">
        <w:trPr>
          <w:cantSplit/>
          <w:jc w:val="center"/>
        </w:trPr>
        <w:tc>
          <w:tcPr>
            <w:tcW w:w="1152" w:type="dxa"/>
            <w:shd w:val="clear" w:color="auto" w:fill="F3F5F7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34D0BC1">
            <w:pPr>
              <w:spacing w:after="0" w:line="280" w:lineRule="exact"/>
              <w:jc w:val="center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20"/>
              </w:rPr>
              <w:t>订单 B</w:t>
            </w:r>
          </w:p>
        </w:tc>
        <w:tc>
          <w:tcPr>
            <w:tcW w:w="2232" w:type="dxa"/>
            <w:shd w:val="clear" w:color="auto" w:fill="F3F5F7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565A34F">
            <w:pPr>
              <w:spacing w:after="0" w:line="280" w:lineRule="exact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20"/>
              </w:rPr>
              <w:t>门店对比</w:t>
            </w:r>
          </w:p>
        </w:tc>
        <w:tc>
          <w:tcPr>
            <w:tcW w:w="4536" w:type="dxa"/>
            <w:shd w:val="clear" w:color="auto" w:fill="F3F5F7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E9CB4A1">
            <w:pPr>
              <w:spacing w:after="0" w:line="280" w:lineRule="exact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20"/>
              </w:rPr>
              <w:t>哪些门店贡献了单量变化</w:t>
            </w:r>
          </w:p>
        </w:tc>
        <w:tc>
          <w:tcPr>
            <w:tcW w:w="2448" w:type="dxa"/>
            <w:shd w:val="clear" w:color="auto" w:fill="F3F5F7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27E846A">
            <w:pPr>
              <w:spacing w:after="0" w:line="280" w:lineRule="exact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20"/>
              </w:rPr>
              <w:t>门店汇总比较</w:t>
            </w:r>
          </w:p>
        </w:tc>
      </w:tr>
      <w:tr w14:paraId="49B79469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FDEC916">
            <w:pPr>
              <w:spacing w:after="0" w:line="280" w:lineRule="exact"/>
              <w:jc w:val="center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20"/>
              </w:rPr>
              <w:t>订单 C</w:t>
            </w:r>
          </w:p>
        </w:tc>
        <w:tc>
          <w:tcPr>
            <w:tcW w:w="2232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884165A">
            <w:pPr>
              <w:spacing w:after="0" w:line="280" w:lineRule="exact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20"/>
              </w:rPr>
              <w:t>渠道与退款</w:t>
            </w:r>
          </w:p>
        </w:tc>
        <w:tc>
          <w:tcPr>
            <w:tcW w:w="4536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D0AC7B2">
            <w:pPr>
              <w:spacing w:after="0" w:line="280" w:lineRule="exact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20"/>
              </w:rPr>
              <w:t>渠道单量与退款情况如何变化</w:t>
            </w:r>
          </w:p>
        </w:tc>
        <w:tc>
          <w:tcPr>
            <w:tcW w:w="2448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8E8AAED">
            <w:pPr>
              <w:spacing w:after="0" w:line="280" w:lineRule="exact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sz w:val="20"/>
              </w:rPr>
              <w:t>交易质量观察</w:t>
            </w:r>
          </w:p>
        </w:tc>
      </w:tr>
    </w:tbl>
    <w:p w14:paraId="1E639BB7">
      <w:pPr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br w:type="page"/>
      </w:r>
    </w:p>
    <w:p w14:paraId="73E9289D">
      <w:pPr>
        <w:pStyle w:val="3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看板 A 经营总览</w:t>
      </w:r>
    </w:p>
    <w:p w14:paraId="347A572D">
      <w:pPr>
        <w:pStyle w:val="15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完整页面 · 先读左列上半页，再读右列下半页 · 全部为模拟数据</w:t>
      </w:r>
    </w:p>
    <w:p w14:paraId="1A48B732">
      <w:pPr>
        <w:spacing w:before="0" w:after="0" w:line="240" w:lineRule="auto"/>
        <w:jc w:val="center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drawing>
          <wp:inline distT="0" distB="0" distL="114300" distR="114300">
            <wp:extent cx="5989320" cy="7634605"/>
            <wp:effectExtent l="0" t="0" r="5080" b="10795"/>
            <wp:docPr id="1" name="Picture 1" descr="经营总览完整手机页面，左列为上半页、右列为下半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经营总览完整手机页面，左列为上半页、右列为下半页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89873" cy="763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ED107">
      <w:pPr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br w:type="page"/>
      </w:r>
    </w:p>
    <w:p w14:paraId="7E1A9EC5">
      <w:pPr>
        <w:pStyle w:val="3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看板 A 设计说明</w:t>
      </w:r>
    </w:p>
    <w:p w14:paraId="35E0E838">
      <w:pPr>
        <w:pStyle w:val="26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推荐默认看板  先判断整体表现，再找到关注方向</w:t>
      </w:r>
    </w:p>
    <w:p w14:paraId="35694F86">
      <w:pPr>
        <w:pStyle w:val="4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适用角色与问题</w:t>
      </w:r>
    </w:p>
    <w:p w14:paraId="4A26A740">
      <w:pPr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老板和店长。快速判断净实收是增长还是下降，以及应继续查看趋势、门店还是渠道。</w:t>
      </w:r>
    </w:p>
    <w:p w14:paraId="4C1D662A">
      <w:pPr>
        <w:pStyle w:val="4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页面顺序</w:t>
      </w:r>
    </w:p>
    <w:p w14:paraId="55861E85">
      <w:pPr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日期、门店与更新时间 → 净实收、订单数、平均每单实收 → 每日趋势 → 门店净实收 → 渠道构成 → 最多 3 条重点变化。</w:t>
      </w:r>
    </w:p>
    <w:p w14:paraId="42E2A66D">
      <w:pPr>
        <w:pStyle w:val="4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图表与选择理由</w:t>
      </w:r>
    </w:p>
    <w:p w14:paraId="64A3E930">
      <w:pPr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每日净实收用曲线展示，单位元/日，可切换 7 天和 30 天，上期用虚线。门店用渠道堆叠细柱比较规模与结构；渠道占比条配金额，控制在 3 个主要图表内。</w:t>
      </w:r>
    </w:p>
    <w:p w14:paraId="2F25D28A">
      <w:pPr>
        <w:pStyle w:val="4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点击后的行为</w:t>
      </w:r>
    </w:p>
    <w:p w14:paraId="192F7784">
      <w:pPr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点选日期查看本期与对应上期数值；长按拖动连续查看。门店柱横向滑动，点击打开门店汇总；渠道入口查看该渠道金额、占比和门店分布。</w:t>
      </w:r>
    </w:p>
    <w:p w14:paraId="5BA18B14">
      <w:pPr>
        <w:pStyle w:val="4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具体使用情景</w:t>
      </w:r>
    </w:p>
    <w:p w14:paraId="0B56FD32">
      <w:pPr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示例净实收 16.8 万元，较上期少 1.2 万元；订单数持平。用户据此关注每单实收变化，再查看江湾店及堂食渠道，而非直接认定销量下降。</w:t>
      </w:r>
    </w:p>
    <w:p w14:paraId="4EAD8F23">
      <w:pPr>
        <w:pStyle w:val="4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数据支持与补充</w:t>
      </w:r>
    </w:p>
    <w:p w14:paraId="20437BBC">
      <w:pPr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已有净实收、订单数、按日及门店渠道汇总可支撑主体。需确认有效订单分母、退款归属、营业日边界和完整性标记。</w:t>
      </w:r>
    </w:p>
    <w:p w14:paraId="0C545802">
      <w:pPr>
        <w:pStyle w:val="4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10 家门店完整展开</w:t>
      </w:r>
    </w:p>
    <w:p w14:paraId="53AE829B">
      <w:pPr>
        <w:spacing w:before="0" w:after="0" w:line="240" w:lineRule="auto"/>
        <w:jc w:val="center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drawing>
          <wp:inline distT="0" distB="0" distL="114300" distR="114300">
            <wp:extent cx="6217920" cy="2887980"/>
            <wp:effectExtent l="0" t="0" r="5080" b="7620"/>
            <wp:docPr id="2" name="Picture 2" descr="横向滑动区域的完整门店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横向滑动区域的完整门店图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888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7107B">
      <w:pPr>
        <w:pStyle w:val="15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为文档阅读展开横向区域；手机中仍按原设计左右滑动。</w:t>
      </w:r>
    </w:p>
    <w:p w14:paraId="1637A13E">
      <w:pPr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br w:type="page"/>
      </w:r>
    </w:p>
    <w:p w14:paraId="42F30250">
      <w:pPr>
        <w:pStyle w:val="3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看板 B 门店关注</w:t>
      </w:r>
    </w:p>
    <w:p w14:paraId="1043279C">
      <w:pPr>
        <w:pStyle w:val="15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完整页面 · 先读左列上半页，再读右列下半页 · 全部为模拟数据</w:t>
      </w:r>
    </w:p>
    <w:p w14:paraId="256D3470">
      <w:pPr>
        <w:spacing w:before="0" w:after="0" w:line="240" w:lineRule="auto"/>
        <w:jc w:val="center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drawing>
          <wp:inline distT="0" distB="0" distL="114300" distR="114300">
            <wp:extent cx="6217920" cy="5768975"/>
            <wp:effectExtent l="0" t="0" r="5080" b="22225"/>
            <wp:docPr id="3" name="Picture 3" descr="门店关注完整手机页面，左列为上半页、右列为下半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门店关注完整手机页面，左列为上半页、右列为下半页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769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FE890">
      <w:pPr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br w:type="page"/>
      </w:r>
    </w:p>
    <w:p w14:paraId="3656C748">
      <w:pPr>
        <w:pStyle w:val="3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看板 B 设计说明</w:t>
      </w:r>
    </w:p>
    <w:p w14:paraId="230E458F">
      <w:pPr>
        <w:pStyle w:val="26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适合区域负责人  以减少金额确定跟进顺序</w:t>
      </w:r>
    </w:p>
    <w:p w14:paraId="550CA5E9">
      <w:pPr>
        <w:pStyle w:val="4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适用角色与问题</w:t>
      </w:r>
    </w:p>
    <w:p w14:paraId="03C54BEF">
      <w:pPr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区域负责人和多店老板。先判断哪家门店影响最大，再核对下降幅度及上期基数。</w:t>
      </w:r>
    </w:p>
    <w:p w14:paraId="00ED90F6">
      <w:pPr>
        <w:pStyle w:val="4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页面顺序</w:t>
      </w:r>
    </w:p>
    <w:p w14:paraId="1B6EAD78">
      <w:pPr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日期与门店范围 → 整体净实收及差异 → 门店对比图 → 选中门店摘要 → 重点关注门店。</w:t>
      </w:r>
    </w:p>
    <w:p w14:paraId="68A6F28E">
      <w:pPr>
        <w:pStyle w:val="4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图表与选择理由</w:t>
      </w:r>
    </w:p>
    <w:p w14:paraId="50CD93FE">
      <w:pPr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主图为纵向细柱，可切换增减金额、变化率和净实收。默认按减少金额排序；增减图保留零基线，净实收从零起算并按渠道堆叠。单位随模式显示元或百分比。</w:t>
      </w:r>
    </w:p>
    <w:p w14:paraId="1C8242FD">
      <w:pPr>
        <w:pStyle w:val="4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点击后的行为</w:t>
      </w:r>
    </w:p>
    <w:p w14:paraId="13FE9018">
      <w:pPr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横滑浏览 10 家门店；点柱更新门店摘要，进入该店订单、每单实收及渠道汇总。可切换为只查看这家店，再用相同筛选查看日趋势。</w:t>
      </w:r>
    </w:p>
    <w:p w14:paraId="77644D75">
      <w:pPr>
        <w:pStyle w:val="4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具体使用情景</w:t>
      </w:r>
    </w:p>
    <w:p w14:paraId="57AFCA9D">
      <w:pPr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江湾店减少 6,000 元、下降 20%；文汇店下降 50%，但仅减少 1,200 元。负责人先跟进江湾，兼顾文汇的低基数，避免只被最大百分比吸引。</w:t>
      </w:r>
    </w:p>
    <w:p w14:paraId="1ACC61C8">
      <w:pPr>
        <w:pStyle w:val="4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数据支持与补充</w:t>
      </w:r>
    </w:p>
    <w:p w14:paraId="396C8916">
      <w:pPr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门店本期和上期净实收可直接支持对比。需补充新开、停业和缺数标记，确认可比门店范围；单店趋势需要门店维度的按日汇总。</w:t>
      </w:r>
    </w:p>
    <w:p w14:paraId="2A6209BB">
      <w:pPr>
        <w:pStyle w:val="4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10 家门店完整展开</w:t>
      </w:r>
    </w:p>
    <w:p w14:paraId="216B0875">
      <w:pPr>
        <w:spacing w:before="0" w:after="0" w:line="240" w:lineRule="auto"/>
        <w:jc w:val="center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drawing>
          <wp:inline distT="0" distB="0" distL="114300" distR="114300">
            <wp:extent cx="5801360" cy="3017520"/>
            <wp:effectExtent l="0" t="0" r="15240" b="5080"/>
            <wp:docPr id="4" name="Picture 4" descr="横向滑动区域的完整门店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横向滑动区域的完整门店图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1627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55000">
      <w:pPr>
        <w:pStyle w:val="15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为文档阅读展开横向区域；手机中仍按原设计左右滑动。</w:t>
      </w:r>
    </w:p>
    <w:p w14:paraId="46A7C5C6">
      <w:pPr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br w:type="page"/>
      </w:r>
    </w:p>
    <w:p w14:paraId="4C686009">
      <w:pPr>
        <w:pStyle w:val="3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看板 C 变化来源</w:t>
      </w:r>
    </w:p>
    <w:p w14:paraId="06F41218">
      <w:pPr>
        <w:pStyle w:val="15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完整页面 · 先读左列上半页，再读右列下半页 · 全部为模拟数据</w:t>
      </w:r>
    </w:p>
    <w:p w14:paraId="6B237B58">
      <w:pPr>
        <w:spacing w:before="0" w:after="0" w:line="240" w:lineRule="auto"/>
        <w:jc w:val="center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drawing>
          <wp:inline distT="0" distB="0" distL="114300" distR="114300">
            <wp:extent cx="6217920" cy="6841490"/>
            <wp:effectExtent l="0" t="0" r="5080" b="16510"/>
            <wp:docPr id="5" name="Picture 5" descr="变化来源完整手机页面，左列为上半页、右列为下半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变化来源完整手机页面，左列为上半页、右列为下半页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684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0656F">
      <w:pPr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br w:type="page"/>
      </w:r>
    </w:p>
    <w:p w14:paraId="47248452">
      <w:pPr>
        <w:pStyle w:val="3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看板 C 设计说明</w:t>
      </w:r>
    </w:p>
    <w:p w14:paraId="30E3ACED">
      <w:pPr>
        <w:pStyle w:val="26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适合经营分析  对照单量 每单实收和渠道变化</w:t>
      </w:r>
    </w:p>
    <w:p w14:paraId="6864F243">
      <w:pPr>
        <w:pStyle w:val="4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适用角色与问题</w:t>
      </w:r>
    </w:p>
    <w:p w14:paraId="1A1247EC">
      <w:pPr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老板、区域负责人和店长。了解收入波动与哪些指标同时变化，并决定下一步分析方向。</w:t>
      </w:r>
    </w:p>
    <w:p w14:paraId="74FC368D">
      <w:pPr>
        <w:pStyle w:val="4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页面顺序</w:t>
      </w:r>
    </w:p>
    <w:p w14:paraId="1EFAF39D">
      <w:pPr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筛选和三项核心指标 → 订单与每单实收双趋势 → 渠道金额对比 → 渠道占比及百分点变化。</w:t>
      </w:r>
    </w:p>
    <w:p w14:paraId="471C1BA0">
      <w:pPr>
        <w:pStyle w:val="4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图表与选择理由</w:t>
      </w:r>
    </w:p>
    <w:p w14:paraId="41806EB7">
      <w:pPr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上下对齐的曲线分别显示订单数和平均每单实收，共用日期轴，单位为单、元/单。渠道分组柱对比本期与上期金额；两条占比条补充结构变化，避免双轴混淆。</w:t>
      </w:r>
    </w:p>
    <w:p w14:paraId="0F491163">
      <w:pPr>
        <w:pStyle w:val="4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点击后的行为</w:t>
      </w:r>
    </w:p>
    <w:p w14:paraId="23581CBF">
      <w:pPr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点选同一日期联动两张趋势读数。渠道入口展示金额增减、占比和门店分布。渠道互斥、完整且口径一致时，显示对总净实收变化的金额贡献。</w:t>
      </w:r>
    </w:p>
    <w:p w14:paraId="3A8A8204">
      <w:pPr>
        <w:pStyle w:val="4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具体使用情景</w:t>
      </w:r>
    </w:p>
    <w:p w14:paraId="469C23BC">
      <w:pPr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示例堂食减少 16,800 元，外卖增加 6,000 元，自提减少 1,200 元，合计减少 12,000 元。用户优先分析堂食；外卖占比增加 6 个百分点需与金额增长分开理解。</w:t>
      </w:r>
    </w:p>
    <w:p w14:paraId="73B6A085">
      <w:pPr>
        <w:pStyle w:val="4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数据支持与补充</w:t>
      </w:r>
    </w:p>
    <w:p w14:paraId="54C6FE4C">
      <w:pPr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已有日趋势、周期对比和渠道汇总可支撑图表。需核对渠道是否完整、退款是否一致分摊及对应订单分母。图表描述变化事实，不直接判定经营原因。</w:t>
      </w:r>
    </w:p>
    <w:p w14:paraId="6A32ECCC">
      <w:pPr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br w:type="page"/>
      </w:r>
      <w:bookmarkStart w:id="0" w:name="_GoBack"/>
      <w:bookmarkEnd w:id="0"/>
    </w:p>
    <w:p w14:paraId="43D6A7F7">
      <w:pPr>
        <w:pStyle w:val="3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看板 D 经营日历热力图</w:t>
      </w:r>
    </w:p>
    <w:p w14:paraId="70161AB2">
      <w:pPr>
        <w:pStyle w:val="15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完整页面 · 先读左列上半页，再读右列下半页 · 全部为模拟数据</w:t>
      </w:r>
    </w:p>
    <w:p w14:paraId="04A87DA4">
      <w:pPr>
        <w:spacing w:before="0" w:after="0" w:line="240" w:lineRule="auto"/>
        <w:jc w:val="center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drawing>
          <wp:inline distT="0" distB="0" distL="114300" distR="114300">
            <wp:extent cx="6217920" cy="6682740"/>
            <wp:effectExtent l="0" t="0" r="5080" b="22860"/>
            <wp:docPr id="6" name="Picture 6" descr="经营日历热力图完整手机页面，左列为上半页、右列为下半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经营日历热力图完整手机页面，左列为上半页、右列为下半页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668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56627">
      <w:pPr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br w:type="page"/>
      </w:r>
    </w:p>
    <w:p w14:paraId="1B931EDC">
      <w:pPr>
        <w:pStyle w:val="3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看板 D 设计说明</w:t>
      </w:r>
    </w:p>
    <w:p w14:paraId="03346B0C">
      <w:pPr>
        <w:pStyle w:val="26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新增方向  在长期日历中发现经营节奏</w:t>
      </w:r>
    </w:p>
    <w:p w14:paraId="7E3887A7">
      <w:pPr>
        <w:pStyle w:val="4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适用角色与问题</w:t>
      </w:r>
    </w:p>
    <w:p w14:paraId="0DF0B05E">
      <w:pPr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老板、区域负责人和店长。快速发现繁忙日、低谷日以及周末与工作日的重复模式。</w:t>
      </w:r>
    </w:p>
    <w:p w14:paraId="71DC354F">
      <w:pPr>
        <w:pStyle w:val="4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页面顺序</w:t>
      </w:r>
    </w:p>
    <w:p w14:paraId="0F8294B0">
      <w:pPr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门店、90 天或近一年 → 周期核心指标 → 每日经营热度 → 选中日期汇总 → 当日渠道构成 → 周期观察。</w:t>
      </w:r>
    </w:p>
    <w:p w14:paraId="41B9FEFE">
      <w:pPr>
        <w:pStyle w:val="4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图表与选择理由</w:t>
      </w:r>
    </w:p>
    <w:p w14:paraId="4306B11A">
      <w:pPr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每格代表一天，按周排列，可切换订单量和净实收，单位为单/天或元/天。绿色深浅映射绝对数值；零值与缺失分别呈现。全年横向滑动，色阶入口说明阈值。</w:t>
      </w:r>
    </w:p>
    <w:p w14:paraId="2E1C264E">
      <w:pPr>
        <w:pStyle w:val="4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点击后的行为</w:t>
      </w:r>
    </w:p>
    <w:p w14:paraId="4FF07224">
      <w:pPr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轻点日期查看当日数值及渠道汇总；长按拖动连续查看。放大月历及前后日按钮便于精确选择。周期对比使用完整上期，当日对比明确为上周同日。</w:t>
      </w:r>
    </w:p>
    <w:p w14:paraId="0C42C494">
      <w:pPr>
        <w:pStyle w:val="4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具体使用情景</w:t>
      </w:r>
    </w:p>
    <w:p w14:paraId="609A5E07">
      <w:pPr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用户看到多个周末色块更深，再查看周末与工作日日均单量，判断是否存在稳定的忙闲节奏。颜色表示数值大小，不表示盈利或经营好坏。</w:t>
      </w:r>
    </w:p>
    <w:p w14:paraId="4E49653D">
      <w:pPr>
        <w:pStyle w:val="4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数据支持与补充</w:t>
      </w:r>
    </w:p>
    <w:p w14:paraId="3794994D">
      <w:pPr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已有按日数据可形成热力图。需确认 90 天或全年历史覆盖、每日完整性、营业日归属，以及支持筛选的门店和渠道日汇总；平均每单实收需对应有效订单数。</w:t>
      </w:r>
    </w:p>
    <w:p w14:paraId="1159B879">
      <w:pPr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br w:type="page"/>
      </w:r>
    </w:p>
    <w:p w14:paraId="73985912">
      <w:pPr>
        <w:pStyle w:val="3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订单 A 订单总览</w:t>
      </w:r>
    </w:p>
    <w:p w14:paraId="3F58D3D8">
      <w:pPr>
        <w:pStyle w:val="15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完整页面 · 先读左列上半页，再读右列下半页 · 全部为模拟数据</w:t>
      </w:r>
    </w:p>
    <w:p w14:paraId="4F116D6F">
      <w:pPr>
        <w:spacing w:before="0" w:after="0" w:line="240" w:lineRule="auto"/>
        <w:jc w:val="center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drawing>
          <wp:inline distT="0" distB="0" distL="114300" distR="114300">
            <wp:extent cx="6217920" cy="6181725"/>
            <wp:effectExtent l="0" t="0" r="5080" b="15875"/>
            <wp:docPr id="7" name="Picture 7" descr="订单总览完整手机页面，左列为上半页、右列为下半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订单总览完整手机页面，左列为上半页、右列为下半页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618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55DA7">
      <w:pPr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br w:type="page"/>
      </w:r>
    </w:p>
    <w:p w14:paraId="7E8CE7E0">
      <w:pPr>
        <w:pStyle w:val="3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订单 A 设计说明</w:t>
      </w:r>
    </w:p>
    <w:p w14:paraId="4CA156B4">
      <w:pPr>
        <w:pStyle w:val="26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推荐默认订单页  面向每天数百至上千单的整体判断</w:t>
      </w:r>
    </w:p>
    <w:p w14:paraId="0ECE15C6">
      <w:pPr>
        <w:pStyle w:val="4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适用角色与问题</w:t>
      </w:r>
    </w:p>
    <w:p w14:paraId="064E8081">
      <w:pPr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老板和店长。了解单量规模、相较上期的变化，以及订单来自哪些渠道和门店。</w:t>
      </w:r>
    </w:p>
    <w:p w14:paraId="613A4B76">
      <w:pPr>
        <w:pStyle w:val="4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页面顺序</w:t>
      </w:r>
    </w:p>
    <w:p w14:paraId="652347A0">
      <w:pPr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日期、门店与更新 → 总订单及日均 → 已支付订单与平均每单实收 → 每日订单趋势 → 渠道结构 → 门店单量变化。</w:t>
      </w:r>
    </w:p>
    <w:p w14:paraId="64819102">
      <w:pPr>
        <w:pStyle w:val="4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图表与选择理由</w:t>
      </w:r>
    </w:p>
    <w:p w14:paraId="3C03CACE">
      <w:pPr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每日单量用曲线，本期与上期逐日对应，单位为单。渠道占比条与各渠道单量并列，显示结构与规模；门店摘要按减少单量提示重点。</w:t>
      </w:r>
    </w:p>
    <w:p w14:paraId="4A42A55D">
      <w:pPr>
        <w:pStyle w:val="4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点击后的行为</w:t>
      </w:r>
    </w:p>
    <w:p w14:paraId="3CC45565">
      <w:pPr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趋势仅查看日期汇总。点渠道查看该渠道周期表现；点门店查看单店汇总。门店、日期筛选同时影响所有数字和图表，不进入逐笔订单。</w:t>
      </w:r>
    </w:p>
    <w:p w14:paraId="205C413F">
      <w:pPr>
        <w:pStyle w:val="4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具体使用情景</w:t>
      </w:r>
    </w:p>
    <w:p w14:paraId="266FDCB2">
      <w:pPr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示例 7 天共有 8,580 单，日均 1,226 单，较上期增加 232 单；江湾店却减少 133 单。用户判断整体增长并不代表每家店增长，继续查看江湾的汇总表现。</w:t>
      </w:r>
    </w:p>
    <w:p w14:paraId="36C4D0AA">
      <w:pPr>
        <w:pStyle w:val="4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数据支持与补充</w:t>
      </w:r>
    </w:p>
    <w:p w14:paraId="03D95271">
      <w:pPr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总订单、每日趋势及门店渠道汇总可支撑基础页。已支付订单及其占比需要支付状态汇总；平均每单实收需要核对净实收与已支付订单是否同口径。</w:t>
      </w:r>
    </w:p>
    <w:p w14:paraId="58527DBB">
      <w:pPr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br w:type="page"/>
      </w:r>
    </w:p>
    <w:p w14:paraId="1C39D469">
      <w:pPr>
        <w:pStyle w:val="3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订单 B 门店对比</w:t>
      </w:r>
    </w:p>
    <w:p w14:paraId="2D598D0E">
      <w:pPr>
        <w:pStyle w:val="15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完整页面 · 先读左列上半页，再读右列下半页 · 全部为模拟数据</w:t>
      </w:r>
    </w:p>
    <w:p w14:paraId="184E435F">
      <w:pPr>
        <w:spacing w:before="0" w:after="0" w:line="240" w:lineRule="auto"/>
        <w:jc w:val="center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drawing>
          <wp:inline distT="0" distB="0" distL="114300" distR="114300">
            <wp:extent cx="6217920" cy="6369050"/>
            <wp:effectExtent l="0" t="0" r="5080" b="6350"/>
            <wp:docPr id="8" name="Picture 8" descr="门店对比完整手机页面，左列为上半页、右列为下半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门店对比完整手机页面，左列为上半页、右列为下半页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636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0E6B2">
      <w:pPr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br w:type="page"/>
      </w:r>
    </w:p>
    <w:p w14:paraId="6208F5A8">
      <w:pPr>
        <w:pStyle w:val="3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订单 B 设计说明</w:t>
      </w:r>
    </w:p>
    <w:p w14:paraId="51B45DBB">
      <w:pPr>
        <w:pStyle w:val="26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适合区域负责人  区分单量规模与单量变化</w:t>
      </w:r>
    </w:p>
    <w:p w14:paraId="57254F86">
      <w:pPr>
        <w:pStyle w:val="4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适用角色与问题</w:t>
      </w:r>
    </w:p>
    <w:p w14:paraId="2795535E">
      <w:pPr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区域负责人和多店老板。比较门店订单规模，识别整体增长或下降由哪些门店贡献。</w:t>
      </w:r>
    </w:p>
    <w:p w14:paraId="5387C043">
      <w:pPr>
        <w:pStyle w:val="4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页面顺序</w:t>
      </w:r>
    </w:p>
    <w:p w14:paraId="1A06C9FD">
      <w:pPr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全局筛选 → 所选门店订单及上期变化 → 门店订单对比图 → 门店分布汇总 → 统计口径。</w:t>
      </w:r>
    </w:p>
    <w:p w14:paraId="21F33A7B">
      <w:pPr>
        <w:pStyle w:val="4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图表与选择理由</w:t>
      </w:r>
    </w:p>
    <w:p w14:paraId="0833A1A1">
      <w:pPr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纵向细柱支持订单量与增减单量切换。订单量从零起算，按堂食、外卖、自提堆叠；增减单量以零基线区分正负。10 店示例横向滑动，不压缩成难以点选的柱。</w:t>
      </w:r>
    </w:p>
    <w:p w14:paraId="11168D3F">
      <w:pPr>
        <w:pStyle w:val="4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点击后的行为</w:t>
      </w:r>
    </w:p>
    <w:p w14:paraId="5EDDE920">
      <w:pPr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点柱或门店汇总行查看单店周期指标、趋势与渠道构成；切换增减模式比较变化贡献。保留上期单量及变化率，不提供订单搜索。</w:t>
      </w:r>
    </w:p>
    <w:p w14:paraId="73F0C862">
      <w:pPr>
        <w:pStyle w:val="4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具体使用情景</w:t>
      </w:r>
    </w:p>
    <w:p w14:paraId="3FC6796A">
      <w:pPr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滨江店 1,028 单、增加 109 单；江湾店 952 单、减少 133 单。用户可分别识别规模较大的门店和需要跟进的下降门店，不把低单量直接认定为经营差。</w:t>
      </w:r>
    </w:p>
    <w:p w14:paraId="311DB30E">
      <w:pPr>
        <w:pStyle w:val="4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数据支持与补充</w:t>
      </w:r>
    </w:p>
    <w:p w14:paraId="3350455D">
      <w:pPr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门店订单数及周期对比可支持主图。堆叠柱需要门店与渠道交叉汇总，趋势需要门店日汇总；需标明新开、停业和数据不全门店对可比范围的影响。</w:t>
      </w:r>
    </w:p>
    <w:p w14:paraId="40F1E643">
      <w:pPr>
        <w:pStyle w:val="4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10 家门店完整展开</w:t>
      </w:r>
    </w:p>
    <w:p w14:paraId="62FDCC25">
      <w:pPr>
        <w:spacing w:before="0" w:after="0" w:line="240" w:lineRule="auto"/>
        <w:jc w:val="center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drawing>
          <wp:inline distT="0" distB="0" distL="114300" distR="114300">
            <wp:extent cx="5263515" cy="3017520"/>
            <wp:effectExtent l="0" t="0" r="19685" b="5080"/>
            <wp:docPr id="9" name="Picture 9" descr="横向滑动区域的完整门店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横向滑动区域的完整门店图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106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1EB3A">
      <w:pPr>
        <w:pStyle w:val="15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为文档阅读展开横向区域；手机中仍按原设计左右滑动。</w:t>
      </w:r>
    </w:p>
    <w:p w14:paraId="5ED5CCFF">
      <w:pPr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br w:type="page"/>
      </w:r>
    </w:p>
    <w:p w14:paraId="4C252887">
      <w:pPr>
        <w:pStyle w:val="3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订单 C 渠道与退款</w:t>
      </w:r>
    </w:p>
    <w:p w14:paraId="4CF8D347">
      <w:pPr>
        <w:pStyle w:val="15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完整页面 · 先读左列上半页，再读右列下半页 · 全部为模拟数据</w:t>
      </w:r>
    </w:p>
    <w:p w14:paraId="46C6ADD9">
      <w:pPr>
        <w:spacing w:before="0" w:after="0" w:line="240" w:lineRule="auto"/>
        <w:jc w:val="center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drawing>
          <wp:inline distT="0" distB="0" distL="114300" distR="114300">
            <wp:extent cx="6217920" cy="6675755"/>
            <wp:effectExtent l="0" t="0" r="5080" b="4445"/>
            <wp:docPr id="10" name="Picture 10" descr="渠道与退款完整手机页面，左列为上半页、右列为下半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渠道与退款完整手机页面，左列为上半页、右列为下半页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6676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0AFB3">
      <w:pPr>
        <w:spacing w:after="0" w:line="240" w:lineRule="auto"/>
        <w:rPr>
          <w:rFonts w:hint="eastAsia" w:ascii="PingFang SC Regular" w:hAnsi="PingFang SC Regular" w:eastAsia="PingFang SC Regular" w:cs="PingFang SC Regular"/>
        </w:rPr>
      </w:pPr>
    </w:p>
    <w:p>
      <w:r>
        <w:br w:type="page"/>
      </w:r>
    </w:p>
    <w:p>
      <w:pPr>
        <w:pStyle w:val="3"/>
        <w:spacing w:before="0" w:after="120"/>
      </w:pPr>
      <w:r>
        <w:rPr>
          <w:rFonts w:eastAsia="Arial Unicode MS"/>
          <w:color w:val="000000"/>
        </w:rPr>
        <w:t>看板 E 今日实时</w:t>
      </w:r>
    </w:p>
    <w:p>
      <w:pPr>
        <w:spacing w:after="120" w:line="320" w:lineRule="exact"/>
      </w:pPr>
      <w:r>
        <w:rPr>
          <w:rFonts w:ascii="Arial" w:hAnsi="Arial" w:eastAsia="Arial Unicode MS"/>
          <w:b w:val="0"/>
          <w:color w:val="000000"/>
          <w:sz w:val="20"/>
        </w:rPr>
        <w:t>完整页面 · 先读左列上半页，再读右列下半页 · 全部为模拟数据</w:t>
      </w:r>
    </w:p>
    <w:p>
      <w:pPr>
        <w:spacing w:line="240" w:lineRule="auto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712838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-sprea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128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20" w:lineRule="exact"/>
      </w:pPr>
      <w:r>
        <w:rPr>
          <w:rFonts w:ascii="Arial" w:hAnsi="Arial" w:eastAsia="Arial Unicode MS"/>
          <w:b w:val="0"/>
          <w:color w:val="000000"/>
          <w:sz w:val="18"/>
        </w:rPr>
        <w:t>页面自动更新，无暂停、倒计时或手动刷新区。横向门店图的完整内容见下一页。</w:t>
      </w:r>
    </w:p>
    <w:p>
      <w:r>
        <w:br w:type="page"/>
      </w:r>
    </w:p>
    <w:p>
      <w:pPr>
        <w:pStyle w:val="3"/>
        <w:spacing w:before="0" w:after="120"/>
      </w:pPr>
      <w:r>
        <w:rPr>
          <w:rFonts w:eastAsia="Arial Unicode MS"/>
          <w:color w:val="000000"/>
        </w:rPr>
        <w:t>看板 E 设计说明</w:t>
      </w:r>
    </w:p>
    <w:p>
      <w:pPr>
        <w:pStyle w:val="4"/>
        <w:spacing w:before="200" w:after="120"/>
      </w:pPr>
      <w:r>
        <w:rPr>
          <w:rFonts w:eastAsia="Arial Unicode MS"/>
          <w:color w:val="000000"/>
        </w:rPr>
        <w:t>使用者与核心问题</w:t>
      </w:r>
    </w:p>
    <w:p>
      <w:pPr>
        <w:spacing w:after="120" w:line="320" w:lineRule="exact"/>
      </w:pPr>
      <w:r>
        <w:rPr>
          <w:rFonts w:ascii="Arial" w:hAnsi="Arial" w:eastAsia="Arial Unicode MS"/>
          <w:b w:val="0"/>
          <w:color w:val="000000"/>
          <w:sz w:val="22"/>
        </w:rPr>
        <w:t>适合营业中的老板、区域负责人和店长。先判断截至此刻的收入与昨日同时段相比如何，再找到需要关注的门店与渠道。</w:t>
      </w:r>
    </w:p>
    <w:p>
      <w:pPr>
        <w:pStyle w:val="4"/>
        <w:spacing w:before="200" w:after="120"/>
      </w:pPr>
      <w:r>
        <w:rPr>
          <w:rFonts w:eastAsia="Arial Unicode MS"/>
          <w:color w:val="000000"/>
        </w:rPr>
        <w:t>页面结构与图表交互</w:t>
      </w:r>
    </w:p>
    <w:p>
      <w:pPr>
        <w:spacing w:after="120" w:line="320" w:lineRule="exact"/>
      </w:pPr>
      <w:r>
        <w:rPr>
          <w:rFonts w:ascii="Arial" w:hAnsi="Arial" w:eastAsia="Arial Unicode MS"/>
          <w:b w:val="0"/>
          <w:color w:val="000000"/>
          <w:sz w:val="22"/>
        </w:rPr>
        <w:t>日期与门店范围 → 净实收、有效订单数、平均每单实收 → 累计净实收曲线 → 最多两家值得关注的门店 → 门店渠道堆叠柱图 → 渠道金额与占比。所有内容随门店选择一起变化。</w:t>
      </w:r>
    </w:p>
    <w:p>
      <w:pPr>
        <w:spacing w:after="120" w:line="320" w:lineRule="exact"/>
      </w:pPr>
      <w:r>
        <w:rPr>
          <w:rFonts w:ascii="Arial" w:hAnsi="Arial" w:eastAsia="Arial Unicode MS"/>
          <w:b w:val="0"/>
          <w:color w:val="000000"/>
          <w:sz w:val="22"/>
        </w:rPr>
        <w:t>累计曲线以元为单位，对比 10/09 与 10/08 从营业日起点至同一截止时间的累计净实收。曲线便于判断营业进度；未到时段留空。轻点或拖动查看时间点，也可使用左右按钮。</w:t>
      </w:r>
    </w:p>
    <w:p>
      <w:pPr>
        <w:spacing w:after="120" w:line="320" w:lineRule="exact"/>
      </w:pPr>
      <w:r>
        <w:rPr>
          <w:rFonts w:ascii="Arial" w:hAnsi="Arial" w:eastAsia="Arial Unicode MS"/>
          <w:b w:val="0"/>
          <w:color w:val="000000"/>
          <w:sz w:val="22"/>
        </w:rPr>
        <w:t>门店采用从零起算的纵向细柱，堂食紫色、外卖珊瑚红、自提青绿色，保留金额与较昨日同时段变化率。手机左右滑动查看 10 店；点柱或关注摘要，只展开该店的收入、订单、每单实收与渠道汇总。</w:t>
      </w:r>
    </w:p>
    <w:p>
      <w:pPr>
        <w:spacing w:after="120" w:line="320" w:lineRule="exact"/>
      </w:pPr>
      <w:r>
        <w:rPr>
          <w:rFonts w:ascii="Arial" w:hAnsi="Arial" w:eastAsia="Arial Unicode MS"/>
          <w:b w:val="0"/>
          <w:color w:val="000000"/>
          <w:sz w:val="22"/>
        </w:rPr>
        <w:t>渠道以紧凑占比条配合金额和占比数值，快速识别收入结构。占比仅对当前完整覆盖的有效范围计算；不把占比高低直接解释为增长或下降原因。</w:t>
      </w:r>
    </w:p>
    <w:p>
      <w:pPr>
        <w:pStyle w:val="4"/>
        <w:spacing w:before="200" w:after="120"/>
      </w:pPr>
      <w:r>
        <w:rPr>
          <w:rFonts w:eastAsia="Arial Unicode MS"/>
          <w:color w:val="000000"/>
        </w:rPr>
        <w:t>具体判断情景</w:t>
      </w:r>
    </w:p>
    <w:p>
      <w:pPr>
        <w:spacing w:after="120" w:line="320" w:lineRule="exact"/>
      </w:pPr>
      <w:r>
        <w:rPr>
          <w:rFonts w:ascii="Arial" w:hAnsi="Arial" w:eastAsia="Arial Unicode MS"/>
          <w:b w:val="0"/>
          <w:color w:val="000000"/>
          <w:sz w:val="22"/>
        </w:rPr>
        <w:t>模拟 14:32，全店净实收 121,860 元，较昨日同时段增加 4,620 元（+3.9%），订单数 +1.7%、平均每单实收 +2.2%。但江湾店减少 3,000 元（−16.7%，上期 18,000 元）。负责人可优先查看江湾店汇总，核对订单与渠道差异后再跟进。</w:t>
      </w:r>
    </w:p>
    <w:p>
      <w:pPr>
        <w:pStyle w:val="4"/>
        <w:spacing w:before="200" w:after="120"/>
      </w:pPr>
      <w:r>
        <w:rPr>
          <w:rFonts w:eastAsia="Arial Unicode MS"/>
          <w:color w:val="000000"/>
        </w:rPr>
        <w:t>全部门店展开图</w:t>
      </w:r>
    </w:p>
    <w:p>
      <w:pPr>
        <w:spacing w:line="240" w:lineRule="auto" w:after="0"/>
        <w:jc w:val="center"/>
      </w:pPr>
      <w:r>
        <w:drawing>
          <wp:inline xmlns:a="http://schemas.openxmlformats.org/drawingml/2006/main" xmlns:pic="http://schemas.openxmlformats.org/drawingml/2006/picture">
            <wp:extent cx="6217920" cy="309270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-wid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92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20" w:lineRule="exact"/>
      </w:pPr>
      <w:r>
        <w:rPr>
          <w:rFonts w:ascii="Arial" w:hAnsi="Arial" w:eastAsia="Arial Unicode MS"/>
          <w:b w:val="0"/>
          <w:color w:val="000000"/>
          <w:sz w:val="18"/>
        </w:rPr>
        <w:t>仅为文档展开横向区域；手机中保留左右滑动。所有柱体使用同一尺度。</w:t>
      </w:r>
    </w:p>
    <w:p>
      <w:r>
        <w:br w:type="page"/>
      </w:r>
    </w:p>
    <w:p>
      <w:pPr>
        <w:pStyle w:val="3"/>
        <w:spacing w:before="0" w:after="120"/>
      </w:pPr>
      <w:r>
        <w:rPr>
          <w:rFonts w:eastAsia="Arial Unicode MS"/>
          <w:color w:val="000000"/>
        </w:rPr>
        <w:t>自动更新与数据接入</w:t>
      </w:r>
    </w:p>
    <w:p>
      <w:pPr>
        <w:pStyle w:val="4"/>
        <w:spacing w:before="200" w:after="120"/>
      </w:pPr>
      <w:r>
        <w:rPr>
          <w:rFonts w:eastAsia="Arial Unicode MS"/>
          <w:color w:val="000000"/>
        </w:rPr>
        <w:t>自动更新方式</w:t>
      </w:r>
    </w:p>
    <w:p>
      <w:pPr>
        <w:spacing w:after="120" w:line="320" w:lineRule="exact"/>
      </w:pPr>
      <w:r>
        <w:rPr>
          <w:rFonts w:ascii="Arial" w:hAnsi="Arial" w:eastAsia="Arial Unicode MS"/>
          <w:b w:val="0"/>
          <w:color w:val="000000"/>
          <w:sz w:val="22"/>
        </w:rPr>
        <w:t>模拟每 10 秒更新一次，核心数字、曲线、门店和渠道使用同一份数据同步变化。页面无需操作，不展示更新状态模块；截止时间保留在净实收卡片中。演示状态选择器位于手机外，仅用于预览不同状态。</w:t>
      </w:r>
    </w:p>
    <w:p>
      <w:pPr>
        <w:spacing w:after="120" w:line="320" w:lineRule="exact"/>
      </w:pPr>
      <w:r>
        <w:rPr>
          <w:rFonts w:ascii="Arial" w:hAnsi="Arial" w:eastAsia="Arial Unicode MS"/>
          <w:b w:val="0"/>
          <w:color w:val="000000"/>
          <w:sz w:val="22"/>
        </w:rPr>
        <w:t>真实接入后的刷新频率需根据数据源延迟与接口能力确定。取到相同或较旧的数据时不伪造增量；页面展示数据实际截止时间。失败或延迟时保留最近有效结果，并在原有指标说明中提示。</w:t>
      </w:r>
    </w:p>
    <w:p>
      <w:pPr>
        <w:pStyle w:val="4"/>
        <w:spacing w:before="200" w:after="120"/>
      </w:pPr>
      <w:r>
        <w:rPr>
          <w:rFonts w:eastAsia="Arial Unicode MS"/>
          <w:color w:val="000000"/>
        </w:rPr>
        <w:t>状态设计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4032"/>
        <w:gridCol w:w="4752"/>
      </w:tblGrid>
      <w:tr>
        <w:tc>
          <w:tcPr>
            <w:tcW w:type="dxa" w:w="129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5"/>
          </w:tcPr>
          <w:p>
            <w:pPr>
              <w:spacing w:line="280" w:lineRule="exact" w:after="0"/>
              <w:jc w:val="center"/>
            </w:pPr>
            <w:r>
              <w:rPr>
                <w:rFonts w:eastAsia="Arial Unicode MS"/>
                <w:b/>
                <w:color w:val="000000"/>
                <w:sz w:val="20"/>
              </w:rPr>
              <w:t>状态</w:t>
            </w:r>
          </w:p>
        </w:tc>
        <w:tc>
          <w:tcPr>
            <w:tcW w:type="dxa" w:w="403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5"/>
          </w:tcPr>
          <w:p>
            <w:pPr>
              <w:spacing w:line="280" w:lineRule="exact" w:after="0"/>
            </w:pPr>
            <w:r>
              <w:rPr>
                <w:rFonts w:eastAsia="Arial Unicode MS"/>
                <w:b/>
                <w:color w:val="000000"/>
                <w:sz w:val="20"/>
              </w:rPr>
              <w:t>页面表现</w:t>
            </w:r>
          </w:p>
        </w:tc>
        <w:tc>
          <w:tcPr>
            <w:tcW w:type="dxa" w:w="475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5"/>
          </w:tcPr>
          <w:p>
            <w:pPr>
              <w:spacing w:line="280" w:lineRule="exact" w:after="0"/>
            </w:pPr>
            <w:r>
              <w:rPr>
                <w:rFonts w:eastAsia="Arial Unicode MS"/>
                <w:b/>
                <w:color w:val="000000"/>
                <w:sz w:val="20"/>
              </w:rPr>
              <w:t>统计与更新规则</w:t>
            </w:r>
          </w:p>
        </w:tc>
      </w:tr>
      <w:tr>
        <w:tc>
          <w:tcPr>
            <w:tcW w:type="dxa" w:w="129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0" w:lineRule="exact" w:after="0"/>
              <w:jc w:val="center"/>
            </w:pPr>
            <w:r>
              <w:rPr>
                <w:rFonts w:eastAsia="Arial Unicode MS"/>
                <w:b w:val="0"/>
                <w:color w:val="000000"/>
                <w:sz w:val="20"/>
              </w:rPr>
              <w:t>正常</w:t>
            </w:r>
          </w:p>
        </w:tc>
        <w:tc>
          <w:tcPr>
            <w:tcW w:type="dxa" w:w="403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0" w:lineRule="exact" w:after="0"/>
            </w:pPr>
            <w:r>
              <w:rPr>
                <w:rFonts w:eastAsia="Arial Unicode MS"/>
                <w:b w:val="0"/>
                <w:color w:val="000000"/>
                <w:sz w:val="20"/>
              </w:rPr>
              <w:t>数据自动变化，不显示刷新控制。</w:t>
            </w:r>
          </w:p>
        </w:tc>
        <w:tc>
          <w:tcPr>
            <w:tcW w:type="dxa" w:w="475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0" w:lineRule="exact" w:after="0"/>
            </w:pPr>
            <w:r>
              <w:rPr>
                <w:rFonts w:eastAsia="Arial Unicode MS"/>
                <w:b w:val="0"/>
                <w:color w:val="000000"/>
                <w:sz w:val="20"/>
              </w:rPr>
              <w:t>各区域使用同一截止时间和门店范围。</w:t>
            </w:r>
          </w:p>
        </w:tc>
      </w:tr>
      <w:tr>
        <w:tc>
          <w:tcPr>
            <w:tcW w:type="dxa" w:w="129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0" w:lineRule="exact" w:after="0"/>
              <w:jc w:val="center"/>
            </w:pPr>
            <w:r>
              <w:rPr>
                <w:rFonts w:eastAsia="Arial Unicode MS"/>
                <w:b w:val="0"/>
                <w:color w:val="000000"/>
                <w:sz w:val="20"/>
              </w:rPr>
              <w:t>数据延迟</w:t>
            </w:r>
          </w:p>
        </w:tc>
        <w:tc>
          <w:tcPr>
            <w:tcW w:type="dxa" w:w="403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0" w:lineRule="exact" w:after="0"/>
            </w:pPr>
            <w:r>
              <w:rPr>
                <w:rFonts w:eastAsia="Arial Unicode MS"/>
                <w:b w:val="0"/>
                <w:color w:val="000000"/>
                <w:sz w:val="20"/>
              </w:rPr>
              <w:t>说明中提示延迟，显示原截止时间。</w:t>
            </w:r>
          </w:p>
        </w:tc>
        <w:tc>
          <w:tcPr>
            <w:tcW w:type="dxa" w:w="475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0" w:lineRule="exact" w:after="0"/>
            </w:pPr>
            <w:r>
              <w:rPr>
                <w:rFonts w:eastAsia="Arial Unicode MS"/>
                <w:b w:val="0"/>
                <w:color w:val="000000"/>
                <w:sz w:val="20"/>
              </w:rPr>
              <w:t>保留最近有效结果，不以请求成功时间冒充数据时间。</w:t>
            </w:r>
          </w:p>
        </w:tc>
      </w:tr>
      <w:tr>
        <w:tc>
          <w:tcPr>
            <w:tcW w:type="dxa" w:w="129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0" w:lineRule="exact" w:after="0"/>
              <w:jc w:val="center"/>
            </w:pPr>
            <w:r>
              <w:rPr>
                <w:rFonts w:eastAsia="Arial Unicode MS"/>
                <w:b w:val="0"/>
                <w:color w:val="000000"/>
                <w:sz w:val="20"/>
              </w:rPr>
              <w:t>部分缺失</w:t>
            </w:r>
          </w:p>
        </w:tc>
        <w:tc>
          <w:tcPr>
            <w:tcW w:type="dxa" w:w="403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0" w:lineRule="exact" w:after="0"/>
            </w:pPr>
            <w:r>
              <w:rPr>
                <w:rFonts w:eastAsia="Arial Unicode MS"/>
                <w:b w:val="0"/>
                <w:color w:val="000000"/>
                <w:sz w:val="20"/>
              </w:rPr>
              <w:t>提示缺数门店，柱图标注缺数。</w:t>
            </w:r>
          </w:p>
        </w:tc>
        <w:tc>
          <w:tcPr>
            <w:tcW w:type="dxa" w:w="475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0" w:lineRule="exact" w:after="0"/>
            </w:pPr>
            <w:r>
              <w:rPr>
                <w:rFonts w:eastAsia="Arial Unicode MS"/>
                <w:b w:val="0"/>
                <w:color w:val="000000"/>
                <w:sz w:val="20"/>
              </w:rPr>
              <w:t>从本期、上期同时排除该门店；不把缺数当零。</w:t>
            </w:r>
          </w:p>
        </w:tc>
      </w:tr>
      <w:tr>
        <w:tc>
          <w:tcPr>
            <w:tcW w:type="dxa" w:w="129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0" w:lineRule="exact" w:after="0"/>
              <w:jc w:val="center"/>
            </w:pPr>
            <w:r>
              <w:rPr>
                <w:rFonts w:eastAsia="Arial Unicode MS"/>
                <w:b w:val="0"/>
                <w:color w:val="000000"/>
                <w:sz w:val="20"/>
              </w:rPr>
              <w:t>请求失败</w:t>
            </w:r>
          </w:p>
        </w:tc>
        <w:tc>
          <w:tcPr>
            <w:tcW w:type="dxa" w:w="403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0" w:lineRule="exact" w:after="0"/>
            </w:pPr>
            <w:r>
              <w:rPr>
                <w:rFonts w:eastAsia="Arial Unicode MS"/>
                <w:b w:val="0"/>
                <w:color w:val="000000"/>
                <w:sz w:val="20"/>
              </w:rPr>
              <w:t>说明中提示暂未取得新数据。</w:t>
            </w:r>
          </w:p>
        </w:tc>
        <w:tc>
          <w:tcPr>
            <w:tcW w:type="dxa" w:w="475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0" w:lineRule="exact" w:after="0"/>
            </w:pPr>
            <w:r>
              <w:rPr>
                <w:rFonts w:eastAsia="Arial Unicode MS"/>
                <w:b w:val="0"/>
                <w:color w:val="000000"/>
                <w:sz w:val="20"/>
              </w:rPr>
              <w:t>保留最近结果；真实接入时后台重试。</w:t>
            </w:r>
          </w:p>
        </w:tc>
      </w:tr>
      <w:tr>
        <w:tc>
          <w:tcPr>
            <w:tcW w:type="dxa" w:w="129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0" w:lineRule="exact" w:after="0"/>
              <w:jc w:val="center"/>
            </w:pPr>
            <w:r>
              <w:rPr>
                <w:rFonts w:eastAsia="Arial Unicode MS"/>
                <w:b w:val="0"/>
                <w:color w:val="000000"/>
                <w:sz w:val="20"/>
              </w:rPr>
              <w:t>首次加载</w:t>
            </w:r>
          </w:p>
        </w:tc>
        <w:tc>
          <w:tcPr>
            <w:tcW w:type="dxa" w:w="403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0" w:lineRule="exact" w:after="0"/>
            </w:pPr>
            <w:r>
              <w:rPr>
                <w:rFonts w:eastAsia="Arial Unicode MS"/>
                <w:b w:val="0"/>
                <w:color w:val="000000"/>
                <w:sz w:val="20"/>
              </w:rPr>
              <w:t>指标显示占位，图表显示加载提示。</w:t>
            </w:r>
          </w:p>
        </w:tc>
        <w:tc>
          <w:tcPr>
            <w:tcW w:type="dxa" w:w="475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0" w:lineRule="exact" w:after="0"/>
            </w:pPr>
            <w:r>
              <w:rPr>
                <w:rFonts w:eastAsia="Arial Unicode MS"/>
                <w:b w:val="0"/>
                <w:color w:val="000000"/>
                <w:sz w:val="20"/>
              </w:rPr>
              <w:t>没有有效快照前不显示数值或比较结果。</w:t>
            </w:r>
          </w:p>
        </w:tc>
      </w:tr>
      <w:tr>
        <w:tc>
          <w:tcPr>
            <w:tcW w:type="dxa" w:w="129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0" w:lineRule="exact" w:after="0"/>
              <w:jc w:val="center"/>
            </w:pPr>
            <w:r>
              <w:rPr>
                <w:rFonts w:eastAsia="Arial Unicode MS"/>
                <w:b w:val="0"/>
                <w:color w:val="000000"/>
                <w:sz w:val="20"/>
              </w:rPr>
              <w:t>暂无数据</w:t>
            </w:r>
          </w:p>
        </w:tc>
        <w:tc>
          <w:tcPr>
            <w:tcW w:type="dxa" w:w="403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0" w:lineRule="exact" w:after="0"/>
            </w:pPr>
            <w:r>
              <w:rPr>
                <w:rFonts w:eastAsia="Arial Unicode MS"/>
                <w:b w:val="0"/>
                <w:color w:val="000000"/>
                <w:sz w:val="20"/>
              </w:rPr>
              <w:t>指标显示横线，图表说明暂无数据。</w:t>
            </w:r>
          </w:p>
        </w:tc>
        <w:tc>
          <w:tcPr>
            <w:tcW w:type="dxa" w:w="475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0" w:lineRule="exact" w:after="0"/>
            </w:pPr>
            <w:r>
              <w:rPr>
                <w:rFonts w:eastAsia="Arial Unicode MS"/>
                <w:b w:val="0"/>
                <w:color w:val="000000"/>
                <w:sz w:val="20"/>
              </w:rPr>
              <w:t>不生成零收入、下降率或渠道占比。</w:t>
            </w:r>
          </w:p>
        </w:tc>
      </w:tr>
    </w:tbl>
    <w:p>
      <w:pPr>
        <w:pStyle w:val="4"/>
        <w:spacing w:before="200" w:after="120"/>
      </w:pPr>
      <w:r>
        <w:rPr>
          <w:rFonts w:eastAsia="Arial Unicode MS"/>
          <w:color w:val="000000"/>
        </w:rPr>
        <w:t>现有字段与接入前核对</w:t>
      </w:r>
    </w:p>
    <w:p>
      <w:pPr>
        <w:spacing w:after="120" w:line="320" w:lineRule="exact"/>
      </w:pPr>
      <w:r>
        <w:rPr>
          <w:rFonts w:ascii="Arial" w:hAnsi="Arial" w:eastAsia="Arial Unicode MS"/>
          <w:b w:val="0"/>
          <w:color w:val="000000"/>
          <w:sz w:val="22"/>
        </w:rPr>
        <w:t>已有净实收、订单数、门店与渠道汇总可支撑基础指标和结构图，具体字段仍需核对。平均每单实收按同口径总净实收 ÷ 总订单数计算，不平均门店均值。</w:t>
      </w:r>
    </w:p>
    <w:p>
      <w:pPr>
        <w:spacing w:after="120" w:line="320" w:lineRule="exact"/>
      </w:pPr>
      <w:r>
        <w:rPr>
          <w:rFonts w:ascii="Arial" w:hAnsi="Arial" w:eastAsia="Arial Unicode MS"/>
          <w:b w:val="0"/>
          <w:color w:val="000000"/>
          <w:sz w:val="22"/>
        </w:rPr>
        <w:t>当日实时曲线与昨日同时段比较，还需要小时或分钟累计数据、营业日与时区定义、数据实际截止时间、各店完整性标记，以及可保证同一批次更新的数据版本。仅有按日趋势不能直接支持这些能力。</w:t>
      </w:r>
    </w:p>
    <w:p>
      <w:pPr>
        <w:spacing w:after="120" w:line="320" w:lineRule="exact"/>
      </w:pPr>
      <w:r>
        <w:rPr>
          <w:rFonts w:ascii="Arial" w:hAnsi="Arial" w:eastAsia="Arial Unicode MS"/>
          <w:b w:val="0"/>
          <w:color w:val="000000"/>
          <w:sz w:val="22"/>
        </w:rPr>
        <w:t>上线前需确认有效订单、退款与取消订单口径，渠道是否互斥且覆盖完整总额，以及新开、停业和缺数门店的可比范围。上期为零或缺失时不计算增长百分比。当前模拟未连接真实接口。</w:t>
      </w:r>
    </w:p>
    <w:sectPr>
      <w:footerReference r:id="rId5" w:type="default"/>
      <w:pgSz w:w="12240" w:h="15840"/>
      <w:pgMar w:top="936" w:right="936" w:bottom="936" w:left="936" w:header="720" w:footer="43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 Regular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 Regular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iragino Sans GB W3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仿宋">
    <w:altName w:val="仿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Heiti TC Light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Heiti SC Light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B22C4E">
    <w:pPr>
      <w:pStyle w:val="24"/>
      <w:jc w:val="right"/>
    </w:pPr>
    <w:r>
      <w:rPr>
        <w:color w:val="777777"/>
        <w:sz w:val="18"/>
      </w:rPr>
      <w:t xml:space="preserve">Crest 方案评审  · 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5FF0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napToGrid w:val="0"/>
      <w:spacing w:after="120" w:line="320" w:lineRule="exact"/>
    </w:pPr>
    <w:rPr>
      <w:rFonts w:ascii="Arial" w:hAnsi="Arial" w:eastAsia="Arial Unicode MS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napToGrid w:val="0"/>
      <w:spacing w:before="480" w:after="140"/>
      <w:outlineLvl w:val="0"/>
    </w:pPr>
    <w:rPr>
      <w:rFonts w:ascii="Arial" w:hAnsi="Arial" w:eastAsia="Arial Unicode MS"/>
      <w:b/>
      <w:bCs/>
      <w:color w:val="000000"/>
      <w:sz w:val="4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napToGrid w:val="0"/>
      <w:spacing w:before="140" w:after="60" w:line="320" w:lineRule="exact"/>
      <w:outlineLvl w:val="1"/>
    </w:pPr>
    <w:rPr>
      <w:rFonts w:ascii="Arial" w:hAnsi="Arial" w:eastAsia="Arial Unicode MS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napToGrid w:val="0"/>
      <w:spacing w:before="200" w:after="140"/>
      <w:outlineLvl w:val="2"/>
    </w:pPr>
    <w:rPr>
      <w:rFonts w:ascii="Arial" w:hAnsi="Arial" w:eastAsia="Arial Unicode MS"/>
      <w:b/>
      <w:bCs/>
      <w:color w:val="000000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napToGrid w:val="0"/>
      <w:spacing w:before="200" w:after="0"/>
      <w:outlineLvl w:val="3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napToGrid w:val="0"/>
      <w:spacing w:before="200" w:after="0"/>
      <w:outlineLvl w:val="4"/>
    </w:pPr>
    <w:rPr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napToGrid w:val="0"/>
      <w:spacing w:before="200" w:after="0"/>
      <w:outlineLvl w:val="5"/>
    </w:pPr>
    <w:rPr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napToGrid w:val="0"/>
      <w:spacing w:before="200" w:after="0"/>
      <w:outlineLvl w:val="6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napToGrid w:val="0"/>
      <w:spacing w:before="200" w:after="0"/>
      <w:outlineLvl w:val="7"/>
    </w:pPr>
    <w:rPr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napToGrid w:val="0"/>
      <w:spacing w:before="200" w:after="0"/>
      <w:outlineLvl w:val="8"/>
    </w:pPr>
    <w:rPr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snapToGrid w:val="0"/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snapToGrid w:val="0"/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napToGrid w:val="0"/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napToGrid w:val="0"/>
      <w:spacing w:after="140" w:line="240" w:lineRule="auto"/>
    </w:pPr>
    <w:rPr>
      <w:rFonts w:ascii="Arial" w:hAnsi="Arial" w:eastAsia="Arial Unicode MS"/>
      <w:b/>
      <w:bCs/>
      <w:color w:val="666666"/>
      <w:sz w:val="18"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napToGrid w:val="0"/>
      <w:contextualSpacing/>
    </w:pPr>
  </w:style>
  <w:style w:type="paragraph" w:styleId="17">
    <w:name w:val="Body Text 3"/>
    <w:basedOn w:val="1"/>
    <w:link w:val="146"/>
    <w:unhideWhenUsed/>
    <w:uiPriority w:val="99"/>
    <w:pPr>
      <w:snapToGrid w:val="0"/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snapToGrid w:val="0"/>
      <w:contextualSpacing/>
    </w:pPr>
  </w:style>
  <w:style w:type="paragraph" w:styleId="19">
    <w:name w:val="Body Text"/>
    <w:basedOn w:val="1"/>
    <w:link w:val="144"/>
    <w:unhideWhenUsed/>
    <w:uiPriority w:val="99"/>
    <w:pPr>
      <w:snapToGrid w:val="0"/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snapToGrid w:val="0"/>
      <w:contextualSpacing/>
    </w:pPr>
  </w:style>
  <w:style w:type="paragraph" w:styleId="21">
    <w:name w:val="List 2"/>
    <w:basedOn w:val="1"/>
    <w:unhideWhenUsed/>
    <w:uiPriority w:val="99"/>
    <w:pPr>
      <w:snapToGrid w:val="0"/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napToGrid w:val="0"/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snapToGrid w:val="0"/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napToGrid w:val="0"/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napToGrid w:val="0"/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snapToGrid w:val="0"/>
      <w:spacing w:after="140"/>
    </w:pPr>
    <w:rPr>
      <w:rFonts w:ascii="Arial" w:hAnsi="Arial" w:eastAsia="Arial Unicode MS"/>
      <w:i/>
      <w:iCs/>
      <w:color w:val="000000"/>
      <w:spacing w:val="15"/>
      <w:sz w:val="22"/>
      <w:szCs w:val="24"/>
    </w:rPr>
  </w:style>
  <w:style w:type="paragraph" w:styleId="27">
    <w:name w:val="List"/>
    <w:basedOn w:val="1"/>
    <w:unhideWhenUsed/>
    <w:uiPriority w:val="99"/>
    <w:pPr>
      <w:snapToGrid w:val="0"/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napToGrid w:val="0"/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napToGrid w:val="0"/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napToGrid w:val="0"/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napToGrid w:val="0"/>
      <w:spacing w:after="140" w:line="240" w:lineRule="auto"/>
      <w:contextualSpacing/>
    </w:pPr>
    <w:rPr>
      <w:rFonts w:ascii="Arial" w:hAnsi="Arial" w:eastAsia="Arial Unicode MS"/>
      <w:color w:val="000000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napToGrid w:val="0"/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snapToGrid w:val="0"/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pPr>
      <w:snapToGrid w:val="0"/>
    </w:pPr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napToGrid w:val="0"/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snapToGrid w:val="0"/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Relationship Id="rId20" Type="http://schemas.openxmlformats.org/officeDocument/2006/relationships/image" Target="media/image11.png"/><Relationship Id="rId2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Crest</dc:creator>
  <dc:description>generated by python-docx</dc:description>
  <cp:lastModifiedBy>hao lin</cp:lastModifiedBy>
  <dcterms:modified xsi:type="dcterms:W3CDTF">2026-10-09T10:44:10Z</dcterms:modified>
  <dc:subject>四版经营看板与三版订单汇总页面的手机模拟和设计说明</dc:subject>
  <dc:title>Crest 经营看板与订单页方案汇编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2052-12.1.28492.28492</vt:lpwstr>
  </property>
  <property fmtid="{D5CDD505-2E9C-101B-9397-08002B2CF9AE}" pid="3" name="ICV">
    <vt:lpwstr>F525910EFA60E754FA54C86ACD2ED19F_42</vt:lpwstr>
  </property>
</Properties>
</file>