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62E66">
      <w:pPr>
        <w:spacing w:before="760" w:after="260"/>
      </w:pPr>
      <w:r>
        <w:rPr>
          <w:rFonts w:ascii="PingFang SC" w:hAnsi="PingFang SC" w:eastAsia="PingFang SC"/>
          <w:b/>
          <w:color w:val="694DCA"/>
          <w:sz w:val="18"/>
        </w:rPr>
        <w:t>CREST  /  PRODUCT DESIGN</w:t>
      </w:r>
    </w:p>
    <w:p w14:paraId="11FAE4BE">
      <w:pPr>
        <w:pStyle w:val="31"/>
        <w:spacing w:after="140"/>
      </w:pPr>
      <w:r>
        <w:t>经营分析 · 手机端 UI 规划</w:t>
      </w:r>
    </w:p>
    <w:p w14:paraId="11FED6B6">
      <w:pPr>
        <w:pBdr>
          <w:bottom w:val="single" w:color="694DCA" w:sz="20" w:space="0"/>
        </w:pBdr>
        <w:spacing w:after="540"/>
      </w:pPr>
      <w:r>
        <w:rPr>
          <w:rFonts w:ascii="PingFang SC" w:hAnsi="PingFang SC" w:eastAsia="PingFang SC"/>
          <w:b w:val="0"/>
          <w:color w:val="636573"/>
          <w:sz w:val="24"/>
        </w:rPr>
        <w:t>基于当前模拟页的界面结构、交互说明与深浅模式对照</w:t>
      </w:r>
    </w:p>
    <w:p w14:paraId="4026E51D">
      <w:pPr>
        <w:pStyle w:val="3"/>
        <w:spacing w:after="60"/>
      </w:pPr>
      <w:r>
        <w:t>信息架构</w:t>
      </w:r>
    </w:p>
    <w:p w14:paraId="389FBA1B">
      <w:pPr>
        <w:spacing w:after="140"/>
      </w:pPr>
      <w:r>
        <w:rPr>
          <w:rFonts w:ascii="PingFang SC" w:hAnsi="PingFang SC" w:eastAsia="PingFang SC"/>
          <w:b/>
          <w:color w:val="694DCA"/>
          <w:sz w:val="22"/>
        </w:rPr>
        <w:t>看板  →  订单  →  产品  →  人效  →  报警</w:t>
      </w:r>
    </w:p>
    <w:p w14:paraId="1E1D0060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统一入口  </w:t>
      </w:r>
      <w:r>
        <w:rPr>
          <w:rFonts w:ascii="PingFang SC" w:hAnsi="PingFang SC" w:eastAsia="PingFang SC"/>
          <w:b w:val="0"/>
          <w:color w:val="1D1E25"/>
          <w:sz w:val="18"/>
        </w:rPr>
        <w:t>顶部栏目导航与统计日期。每个栏目独立承载自己的核心指标和分析区。</w:t>
      </w:r>
    </w:p>
    <w:p w14:paraId="36733EF4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主题规范  </w:t>
      </w:r>
      <w:r>
        <w:rPr>
          <w:rFonts w:ascii="PingFang SC" w:hAnsi="PingFang SC" w:eastAsia="PingFang SC"/>
          <w:b w:val="0"/>
          <w:color w:val="1D1E25"/>
          <w:sz w:val="18"/>
        </w:rPr>
        <w:t>深色、浅色保持相同内容层级与交互；通过文字、图例与色彩共同表达数据。</w:t>
      </w:r>
    </w:p>
    <w:p w14:paraId="2C986FE6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文档边界  </w:t>
      </w:r>
      <w:r>
        <w:rPr>
          <w:rFonts w:ascii="PingFang SC" w:hAnsi="PingFang SC" w:eastAsia="PingFang SC"/>
          <w:b w:val="0"/>
          <w:color w:val="1D1E25"/>
          <w:sz w:val="18"/>
        </w:rPr>
        <w:t>截图与数字均取自模拟页面，仅说明方案，不代表正式产品数据或最终指标定义。</w:t>
      </w:r>
      <w:r>
        <w:br w:type="page"/>
      </w:r>
    </w:p>
    <w:p w14:paraId="07C04491">
      <w:pPr>
        <w:spacing w:before="0" w:after="100"/>
      </w:pPr>
      <w:r>
        <w:rPr>
          <w:rFonts w:ascii="PingFang SC" w:hAnsi="PingFang SC" w:eastAsia="PingFang SC"/>
          <w:b/>
          <w:color w:val="694DCA"/>
          <w:sz w:val="16"/>
        </w:rPr>
        <w:t>01 / 经营分析模块</w:t>
      </w:r>
    </w:p>
    <w:p w14:paraId="6C440F26">
      <w:pPr>
        <w:pStyle w:val="3"/>
        <w:spacing w:after="60"/>
      </w:pPr>
      <w:r>
        <w:t>看板</w:t>
      </w:r>
    </w:p>
    <w:p w14:paraId="3B0EA955"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从当日营收进入同日门店对比、周期趋势与渠道构成。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4847"/>
      </w:tblGrid>
      <w:tr w14:paraId="22DE4BA5">
        <w:tc>
          <w:tcPr>
            <w:tcW w:w="5018" w:type="dxa"/>
            <w:shd w:val="clear" w:color="auto" w:fill="F0EEF8"/>
            <w:vAlign w:val="center"/>
          </w:tcPr>
          <w:p w14:paraId="311EDA64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w="5018" w:type="dxa"/>
            <w:shd w:val="clear" w:color="auto" w:fill="F4F4F7"/>
            <w:vAlign w:val="center"/>
          </w:tcPr>
          <w:p w14:paraId="41F4A120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 w14:paraId="3B6747BB"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338271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dar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3382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338271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ligh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3382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88108">
      <w:pPr>
        <w:spacing w:after="0"/>
      </w:pPr>
    </w:p>
    <w:p w14:paraId="2492B73E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页面构成  </w:t>
      </w:r>
      <w:r>
        <w:rPr>
          <w:rFonts w:ascii="PingFang SC" w:hAnsi="PingFang SC" w:eastAsia="PingFang SC"/>
          <w:b w:val="0"/>
          <w:color w:val="1D1E25"/>
          <w:sz w:val="18"/>
        </w:rPr>
        <w:t>精简营收概览、营业渠道筛选、10 店纵向堆叠柱状图、门店周期折线图、堂食/外卖/自提结构。</w:t>
      </w:r>
    </w:p>
    <w:p w14:paraId="7EACE992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当前交互  </w:t>
      </w:r>
      <w:r>
        <w:rPr>
          <w:rFonts w:ascii="PingFang SC" w:hAnsi="PingFang SC" w:eastAsia="PingFang SC"/>
          <w:b w:val="0"/>
          <w:color w:val="1D1E25"/>
          <w:sz w:val="18"/>
        </w:rPr>
        <w:t>柱图左右滑动并点选门店；趋势门店可单选、多选、全选。折线图默认 30 日，可切换 7 日；左右滑动回看历史，轻点选日期，长按折线后拖动逐日查看。拖动不改原始数据。</w:t>
      </w:r>
    </w:p>
    <w:p w14:paraId="387F8CA4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落地要点  </w:t>
      </w:r>
      <w:r>
        <w:rPr>
          <w:rFonts w:ascii="PingFang SC" w:hAnsi="PingFang SC" w:eastAsia="PingFang SC"/>
          <w:b w:val="0"/>
          <w:color w:val="1D1E25"/>
          <w:sz w:val="18"/>
        </w:rPr>
        <w:t>同日比较与时间趋势使用同一统计日期；渠道筛选联动图表。上线前确认净实收口径与跨店汇总规则。</w:t>
      </w:r>
    </w:p>
    <w:p w14:paraId="19D4850B">
      <w:r>
        <w:br w:type="page"/>
      </w:r>
    </w:p>
    <w:p w14:paraId="6AF6259F">
      <w:pPr>
        <w:spacing w:before="0" w:after="100"/>
      </w:pPr>
      <w:r>
        <w:rPr>
          <w:rFonts w:ascii="PingFang SC" w:hAnsi="PingFang SC" w:eastAsia="PingFang SC"/>
          <w:b/>
          <w:color w:val="694DCA"/>
          <w:sz w:val="16"/>
        </w:rPr>
        <w:t>02 / 经营分析模块</w:t>
      </w:r>
    </w:p>
    <w:p w14:paraId="33A168B4">
      <w:pPr>
        <w:pStyle w:val="3"/>
        <w:spacing w:after="60"/>
      </w:pPr>
      <w:r>
        <w:t>订单</w:t>
      </w:r>
    </w:p>
    <w:p w14:paraId="3E67568C"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先看 10 店订单表现，再进入单店的订单趋势和每日明细。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4847"/>
      </w:tblGrid>
      <w:tr w14:paraId="5EDD3EE5">
        <w:tc>
          <w:tcPr>
            <w:tcW w:w="5018" w:type="dxa"/>
            <w:shd w:val="clear" w:color="auto" w:fill="F0EEF8"/>
            <w:vAlign w:val="center"/>
          </w:tcPr>
          <w:p w14:paraId="478C9E5A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w="5018" w:type="dxa"/>
            <w:shd w:val="clear" w:color="auto" w:fill="F4F4F7"/>
            <w:vAlign w:val="center"/>
          </w:tcPr>
          <w:p w14:paraId="6F61255C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 w14:paraId="453681BF"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04143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s-dar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0414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041433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s-lig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0414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597D2">
      <w:pPr>
        <w:spacing w:after="0"/>
      </w:pPr>
    </w:p>
    <w:p w14:paraId="46B49D35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页面构成  </w:t>
      </w:r>
      <w:r>
        <w:rPr>
          <w:rFonts w:ascii="PingFang SC" w:hAnsi="PingFang SC" w:eastAsia="PingFang SC"/>
          <w:b w:val="0"/>
          <w:color w:val="1D1E25"/>
          <w:sz w:val="18"/>
        </w:rPr>
        <w:t>紧凑指标区展示订单数、净实收、客单价、退款金额；下方按订单数排列门店。总览不重复放订单趋势。</w:t>
      </w:r>
    </w:p>
    <w:p w14:paraId="5B03635A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当前交互  </w:t>
      </w:r>
      <w:r>
        <w:rPr>
          <w:rFonts w:ascii="PingFang SC" w:hAnsi="PingFang SC" w:eastAsia="PingFang SC"/>
          <w:b w:val="0"/>
          <w:color w:val="1D1E25"/>
          <w:sz w:val="18"/>
        </w:rPr>
        <w:t>点击排名行直接打开该店详情，不在列表原地展开；详情默认展示最近 30 日，可在折线图和数据表之间切换，也可切换 7 日。</w:t>
      </w:r>
    </w:p>
    <w:p w14:paraId="70118A3E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落地要点  </w:t>
      </w:r>
      <w:bookmarkStart w:id="0" w:name="_GoBack"/>
      <w:r>
        <w:rPr>
          <w:rFonts w:ascii="PingFang SC" w:hAnsi="PingFang SC" w:eastAsia="PingFang SC"/>
          <w:b w:val="0"/>
          <w:color w:val="1D1E25"/>
          <w:sz w:val="18"/>
        </w:rPr>
        <w:t>详情表按日期列出订单数、净实收、客单价与退款；折线图沿用看板的周期对比和逐点查看体验</w:t>
      </w:r>
      <w:bookmarkEnd w:id="0"/>
      <w:r>
        <w:rPr>
          <w:rFonts w:ascii="PingFang SC" w:hAnsi="PingFang SC" w:eastAsia="PingFang SC"/>
          <w:b w:val="0"/>
          <w:color w:val="1D1E25"/>
          <w:sz w:val="18"/>
        </w:rPr>
        <w:t>。</w:t>
      </w:r>
    </w:p>
    <w:p>
      <w:r>
        <w:br w:type="page"/>
      </w:r>
    </w:p>
    <w:p>
      <w:pPr>
        <w:spacing w:after="100"/>
      </w:pPr>
      <w:r>
        <w:rPr>
          <w:rFonts w:ascii="PingFang SC" w:hAnsi="PingFang SC" w:eastAsia="PingFang SC"/>
          <w:b/>
          <w:color w:val="694DCA"/>
          <w:sz w:val="16"/>
        </w:rPr>
        <w:t>02 / 订单 · 门店详情</w:t>
      </w:r>
    </w:p>
    <w:p>
      <w:pPr>
        <w:pStyle w:val="3"/>
        <w:spacing w:after="60"/>
      </w:pPr>
      <w:r>
        <w:t>点击门店后 · 折线图</w:t>
      </w:r>
    </w:p>
    <w:p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从门店排名进入独立详情，默认查看该店订单趋势。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5018"/>
            <w:vAlign w:val="center"/>
            <w:shd w:fill="F0EEF8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type="dxa" w:w="5018"/>
            <w:vAlign w:val="center"/>
            <w:shd w:fill="F4F4F7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>
        <w:tc>
          <w:tcPr>
            <w:tcW w:type="dxa" w:w="5018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67283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-detail-chart-dar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6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67283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-detail-chart-ligh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672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/>
      </w:pPr>
      <w:r>
        <w:rPr>
          <w:rFonts w:ascii="PingFang SC" w:hAnsi="PingFang SC" w:eastAsia="PingFang SC"/>
          <w:b/>
          <w:color w:val="694DCA"/>
          <w:sz w:val="18"/>
        </w:rPr>
        <w:t xml:space="preserve">进入方式  </w:t>
      </w:r>
      <w:r>
        <w:rPr>
          <w:rFonts w:ascii="PingFang SC" w:hAnsi="PingFang SC" w:eastAsia="PingFang SC"/>
          <w:b w:val="0"/>
          <w:color w:val="1D1E25"/>
          <w:sz w:val="18"/>
        </w:rPr>
        <w:t>点击任意门店排名行打开详情；顶部提供“返回门店排名”。</w:t>
      </w:r>
    </w:p>
    <w:p>
      <w:pPr>
        <w:spacing w:before="100"/>
      </w:pPr>
      <w:r>
        <w:rPr>
          <w:rFonts w:ascii="PingFang SC" w:hAnsi="PingFang SC" w:eastAsia="PingFang SC"/>
          <w:b/>
          <w:color w:val="694DCA"/>
          <w:sz w:val="18"/>
        </w:rPr>
        <w:t xml:space="preserve">趋势交互  </w:t>
      </w:r>
      <w:r>
        <w:rPr>
          <w:rFonts w:ascii="PingFang SC" w:hAnsi="PingFang SC" w:eastAsia="PingFang SC"/>
          <w:b w:val="0"/>
          <w:color w:val="1D1E25"/>
          <w:sz w:val="18"/>
        </w:rPr>
        <w:t>折线图默认 30 日，可切换 7 日；左右滑动回看历史，轻点选日期，长按折线后拖动逐日查看订单数及同期变化。拖动不改原始数据。</w:t>
      </w:r>
    </w:p>
    <w:p>
      <w:r>
        <w:br w:type="page"/>
      </w:r>
    </w:p>
    <w:p>
      <w:pPr>
        <w:spacing w:after="100"/>
      </w:pPr>
      <w:r>
        <w:rPr>
          <w:rFonts w:ascii="PingFang SC" w:hAnsi="PingFang SC" w:eastAsia="PingFang SC"/>
          <w:b/>
          <w:color w:val="694DCA"/>
          <w:sz w:val="16"/>
        </w:rPr>
        <w:t>02 / 订单 · 门店详情</w:t>
      </w:r>
    </w:p>
    <w:p>
      <w:pPr>
        <w:pStyle w:val="3"/>
        <w:spacing w:after="60"/>
      </w:pPr>
      <w:r>
        <w:t>点击门店后 · 数据表</w:t>
      </w:r>
    </w:p>
    <w:p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同一门店、同一日期周期下，切换查看逐日明细。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5018"/>
            <w:vAlign w:val="center"/>
            <w:shd w:fill="F0EEF8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type="dxa" w:w="5018"/>
            <w:vAlign w:val="center"/>
            <w:shd w:fill="F4F4F7"/>
          </w:tcPr>
          <w:p>
            <w:pPr>
              <w:spacing w:before="40" w:after="40"/>
              <w:jc w:val="center"/>
            </w:pPr>
            <w:r/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>
        <w:tc>
          <w:tcPr>
            <w:tcW w:type="dxa" w:w="5018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19938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-detail-table-dark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199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1219938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der-detail-table-ligh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2199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/>
      </w:pPr>
      <w:r>
        <w:rPr>
          <w:rFonts w:ascii="PingFang SC" w:hAnsi="PingFang SC" w:eastAsia="PingFang SC"/>
          <w:b/>
          <w:color w:val="694DCA"/>
          <w:sz w:val="18"/>
        </w:rPr>
        <w:t xml:space="preserve">表格内容  </w:t>
      </w:r>
      <w:r>
        <w:rPr>
          <w:rFonts w:ascii="PingFang SC" w:hAnsi="PingFang SC" w:eastAsia="PingFang SC"/>
          <w:b w:val="0"/>
          <w:color w:val="1D1E25"/>
          <w:sz w:val="18"/>
        </w:rPr>
        <w:t>按日期展示订单数、净实收、客单价与退款金额；窄屏横向滑动查看完整列。</w:t>
      </w:r>
    </w:p>
    <w:p>
      <w:pPr>
        <w:spacing w:before="100"/>
      </w:pPr>
      <w:r>
        <w:rPr>
          <w:rFonts w:ascii="PingFang SC" w:hAnsi="PingFang SC" w:eastAsia="PingFang SC"/>
          <w:b/>
          <w:color w:val="694DCA"/>
          <w:sz w:val="18"/>
        </w:rPr>
        <w:t xml:space="preserve">状态保持  </w:t>
      </w:r>
      <w:r>
        <w:rPr>
          <w:rFonts w:ascii="PingFang SC" w:hAnsi="PingFang SC" w:eastAsia="PingFang SC"/>
          <w:b w:val="0"/>
          <w:color w:val="1D1E25"/>
          <w:sz w:val="18"/>
        </w:rPr>
        <w:t>切换折线图/数据表时，保留已选门店、7/30 日周期和当前可见日期范围；数据表同步展示该范围内的逐日数据。</w:t>
      </w:r>
    </w:p>
    <w:p w14:paraId="004FB0E8">
      <w:r>
        <w:br w:type="page"/>
      </w:r>
    </w:p>
    <w:p w14:paraId="76B2E4EA">
      <w:pPr>
        <w:spacing w:before="0" w:after="100"/>
      </w:pPr>
      <w:r>
        <w:rPr>
          <w:rFonts w:ascii="PingFang SC" w:hAnsi="PingFang SC" w:eastAsia="PingFang SC"/>
          <w:b/>
          <w:color w:val="694DCA"/>
          <w:sz w:val="16"/>
        </w:rPr>
        <w:t>03 / 经营分析模块</w:t>
      </w:r>
    </w:p>
    <w:p w14:paraId="32931F55">
      <w:pPr>
        <w:pStyle w:val="3"/>
        <w:spacing w:after="60"/>
      </w:pPr>
      <w:r>
        <w:t>产品</w:t>
      </w:r>
    </w:p>
    <w:p w14:paraId="46C65566"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将热销商品与单品销售走势关联起来。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4847"/>
      </w:tblGrid>
      <w:tr w14:paraId="1BBFADDD">
        <w:tc>
          <w:tcPr>
            <w:tcW w:w="5018" w:type="dxa"/>
            <w:shd w:val="clear" w:color="auto" w:fill="F0EEF8"/>
            <w:vAlign w:val="center"/>
          </w:tcPr>
          <w:p w14:paraId="5CC89BFD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w="5018" w:type="dxa"/>
            <w:shd w:val="clear" w:color="auto" w:fill="F4F4F7"/>
            <w:vAlign w:val="center"/>
          </w:tcPr>
          <w:p w14:paraId="5A343342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 w14:paraId="0DCDEF1C"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137995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s-dark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1379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137995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s-ligh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1379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E1DC6">
      <w:pPr>
        <w:spacing w:after="0"/>
      </w:pPr>
    </w:p>
    <w:p w14:paraId="1F1B608B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页面构成  </w:t>
      </w:r>
      <w:r>
        <w:rPr>
          <w:rFonts w:ascii="PingFang SC" w:hAnsi="PingFang SC" w:eastAsia="PingFang SC"/>
          <w:b w:val="0"/>
          <w:color w:val="1D1E25"/>
          <w:sz w:val="18"/>
        </w:rPr>
        <w:t>核心指标、近 7 日产品销售趋势、热销产品前 6 名以及当前选中商品的明细。</w:t>
      </w:r>
    </w:p>
    <w:p w14:paraId="52845D1C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当前交互  </w:t>
      </w:r>
      <w:r>
        <w:rPr>
          <w:rFonts w:ascii="PingFang SC" w:hAnsi="PingFang SC" w:eastAsia="PingFang SC"/>
          <w:b w:val="0"/>
          <w:color w:val="1D1E25"/>
          <w:sz w:val="18"/>
        </w:rPr>
        <w:t>点击商品排行切换趋势对象；点击折线点查看该日销售额，选中商品信息同步更新。</w:t>
      </w:r>
    </w:p>
    <w:p w14:paraId="2ECED6F9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落地要点  </w:t>
      </w:r>
      <w:r>
        <w:rPr>
          <w:rFonts w:ascii="PingFang SC" w:hAnsi="PingFang SC" w:eastAsia="PingFang SC"/>
          <w:b w:val="0"/>
          <w:color w:val="1D1E25"/>
          <w:sz w:val="18"/>
        </w:rPr>
        <w:t>商品销售额与财务净实收分开表达；真实接入时需确定 SKU、退款和套餐拆分口径。</w:t>
      </w:r>
    </w:p>
    <w:p w14:paraId="69B878C1">
      <w:r>
        <w:br w:type="page"/>
      </w:r>
    </w:p>
    <w:p w14:paraId="03641506">
      <w:pPr>
        <w:spacing w:before="0" w:after="100"/>
      </w:pPr>
      <w:r>
        <w:rPr>
          <w:rFonts w:ascii="PingFang SC" w:hAnsi="PingFang SC" w:eastAsia="PingFang SC"/>
          <w:b/>
          <w:color w:val="694DCA"/>
          <w:sz w:val="16"/>
        </w:rPr>
        <w:t>04 / 经营分析模块</w:t>
      </w:r>
    </w:p>
    <w:p w14:paraId="2AA5F5DF">
      <w:pPr>
        <w:pStyle w:val="3"/>
        <w:spacing w:after="60"/>
      </w:pPr>
      <w:r>
        <w:t>人效</w:t>
      </w:r>
    </w:p>
    <w:p w14:paraId="6C95F66B"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用工时投入与每小时产出判断排班效率。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4847"/>
      </w:tblGrid>
      <w:tr w14:paraId="09AB4972">
        <w:tc>
          <w:tcPr>
            <w:tcW w:w="5018" w:type="dxa"/>
            <w:shd w:val="clear" w:color="auto" w:fill="F0EEF8"/>
            <w:vAlign w:val="center"/>
          </w:tcPr>
          <w:p w14:paraId="3EFFD54B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w="5018" w:type="dxa"/>
            <w:shd w:val="clear" w:color="auto" w:fill="F4F4F7"/>
            <w:vAlign w:val="center"/>
          </w:tcPr>
          <w:p w14:paraId="5FECA669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 w14:paraId="6679C034"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145148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-dar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1451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1145148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-ligh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11451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57461">
      <w:pPr>
        <w:spacing w:after="0"/>
      </w:pPr>
    </w:p>
    <w:p w14:paraId="278EB7D8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页面构成  </w:t>
      </w:r>
      <w:r>
        <w:rPr>
          <w:rFonts w:ascii="PingFang SC" w:hAnsi="PingFang SC" w:eastAsia="PingFang SC"/>
          <w:b w:val="0"/>
          <w:color w:val="1D1E25"/>
          <w:sz w:val="18"/>
        </w:rPr>
        <w:t>实际/计划工时、参与人数、小时产出；下方分别展示小时产出趋势及实际/计划工时趋势。</w:t>
      </w:r>
    </w:p>
    <w:p w14:paraId="4A90F7F5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当前交互  </w:t>
      </w:r>
      <w:r>
        <w:rPr>
          <w:rFonts w:ascii="PingFang SC" w:hAnsi="PingFang SC" w:eastAsia="PingFang SC"/>
          <w:b w:val="0"/>
          <w:color w:val="1D1E25"/>
          <w:sz w:val="18"/>
        </w:rPr>
        <w:t>趋势图区分实际和计划；逐日条目可展开查看净实收、小时产出与目标。</w:t>
      </w:r>
    </w:p>
    <w:p w14:paraId="3E1FD476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落地要点  </w:t>
      </w:r>
      <w:r>
        <w:rPr>
          <w:rFonts w:ascii="PingFang SC" w:hAnsi="PingFang SC" w:eastAsia="PingFang SC"/>
          <w:b w:val="0"/>
          <w:color w:val="1D1E25"/>
          <w:sz w:val="18"/>
        </w:rPr>
        <w:t>建议固定“小时产出＝净实收÷实际工时”的说明，并明确跨店合并及排班缺失值处理方式。</w:t>
      </w:r>
    </w:p>
    <w:p w14:paraId="5F2A75A4">
      <w:r>
        <w:br w:type="page"/>
      </w:r>
    </w:p>
    <w:p w14:paraId="6A304ED4">
      <w:pPr>
        <w:spacing w:before="0" w:after="100"/>
      </w:pPr>
      <w:r>
        <w:rPr>
          <w:rFonts w:ascii="PingFang SC" w:hAnsi="PingFang SC" w:eastAsia="PingFang SC"/>
          <w:b/>
          <w:color w:val="694DCA"/>
          <w:sz w:val="16"/>
        </w:rPr>
        <w:t>05 / 经营分析模块</w:t>
      </w:r>
    </w:p>
    <w:p w14:paraId="3FEDEC44">
      <w:pPr>
        <w:pStyle w:val="3"/>
        <w:spacing w:after="60"/>
      </w:pPr>
      <w:r>
        <w:t>报警</w:t>
      </w:r>
    </w:p>
    <w:p w14:paraId="36E3A27E">
      <w:pPr>
        <w:spacing w:after="180"/>
      </w:pPr>
      <w:r>
        <w:rPr>
          <w:rFonts w:ascii="PingFang SC" w:hAnsi="PingFang SC" w:eastAsia="PingFang SC"/>
          <w:b w:val="0"/>
          <w:color w:val="636573"/>
          <w:sz w:val="19"/>
        </w:rPr>
        <w:t>优先发现偏离基准的门店，并给出可解释的查看入口。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4847"/>
      </w:tblGrid>
      <w:tr w14:paraId="16159467">
        <w:tc>
          <w:tcPr>
            <w:tcW w:w="5018" w:type="dxa"/>
            <w:shd w:val="clear" w:color="auto" w:fill="F0EEF8"/>
            <w:vAlign w:val="center"/>
          </w:tcPr>
          <w:p w14:paraId="1116E2F8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深色模式</w:t>
            </w:r>
          </w:p>
        </w:tc>
        <w:tc>
          <w:tcPr>
            <w:tcW w:w="5018" w:type="dxa"/>
            <w:shd w:val="clear" w:color="auto" w:fill="F4F4F7"/>
            <w:vAlign w:val="center"/>
          </w:tcPr>
          <w:p w14:paraId="41B75B2B">
            <w:pPr>
              <w:spacing w:before="40" w:after="40"/>
              <w:jc w:val="center"/>
            </w:pPr>
            <w:r>
              <w:rPr>
                <w:rFonts w:ascii="PingFang SC" w:hAnsi="PingFang SC" w:eastAsia="PingFang SC"/>
                <w:b/>
                <w:color w:val="1D1E25"/>
                <w:sz w:val="16"/>
              </w:rPr>
              <w:t>浅色模式</w:t>
            </w:r>
          </w:p>
        </w:tc>
      </w:tr>
      <w:tr w14:paraId="06014FC9"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937004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s-dark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93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8" w:type="dxa"/>
            <w:vAlign w:val="top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9555" cy="937004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rts-ligh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55" cy="93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56054">
      <w:pPr>
        <w:spacing w:after="0"/>
      </w:pPr>
    </w:p>
    <w:p w14:paraId="532041CB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页面构成  </w:t>
      </w:r>
      <w:r>
        <w:rPr>
          <w:rFonts w:ascii="PingFang SC" w:hAnsi="PingFang SC" w:eastAsia="PingFang SC"/>
          <w:b w:val="0"/>
          <w:color w:val="1D1E25"/>
          <w:sz w:val="18"/>
        </w:rPr>
        <w:t>报警数量、上/下偏离概览、最大偏离；偏离率图按绝对值排序，下面是需关注门店清单。</w:t>
      </w:r>
    </w:p>
    <w:p w14:paraId="2D440873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当前交互  </w:t>
      </w:r>
      <w:r>
        <w:rPr>
          <w:rFonts w:ascii="PingFang SC" w:hAnsi="PingFang SC" w:eastAsia="PingFang SC"/>
          <w:b w:val="0"/>
          <w:color w:val="1D1E25"/>
          <w:sz w:val="18"/>
        </w:rPr>
        <w:t>正负偏离分列识别；点击清单条目展开实际营收、基准营收、偏离率与原因提示。</w:t>
      </w:r>
    </w:p>
    <w:p w14:paraId="6DB85599">
      <w:pPr>
        <w:spacing w:before="100" w:after="0"/>
      </w:pPr>
      <w:r>
        <w:rPr>
          <w:rFonts w:ascii="PingFang SC" w:hAnsi="PingFang SC" w:eastAsia="PingFang SC"/>
          <w:b/>
          <w:color w:val="694DCA"/>
          <w:sz w:val="18"/>
        </w:rPr>
        <w:t xml:space="preserve">落地要点  </w:t>
      </w:r>
      <w:r>
        <w:rPr>
          <w:rFonts w:ascii="PingFang SC" w:hAnsi="PingFang SC" w:eastAsia="PingFang SC"/>
          <w:b w:val="0"/>
          <w:color w:val="1D1E25"/>
          <w:sz w:val="18"/>
        </w:rPr>
        <w:t>真实报警阈值、基准周期与原因生成规则需要业务确认；突出可操作信息，避免仅用颜色区分风险。</w:t>
      </w:r>
    </w:p>
    <w:p w14:paraId="3784580A">
      <w:pPr>
        <w:spacing w:line="240" w:lineRule="auto"/>
      </w:pPr>
    </w:p>
    <w:sectPr>
      <w:pgSz w:w="11906" w:h="26640"/>
      <w:pgMar w:top="935" w:right="935" w:bottom="879" w:left="935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1" w:lineRule="auto"/>
      </w:pPr>
      <w:r>
        <w:separator/>
      </w:r>
    </w:p>
  </w:footnote>
  <w:footnote w:type="continuationSeparator" w:id="1">
    <w:p>
      <w:pPr>
        <w:spacing w:before="0" w:after="0" w:line="28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5BB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81" w:lineRule="auto"/>
    </w:pPr>
    <w:rPr>
      <w:rFonts w:ascii="PingFang SC" w:hAnsi="PingFang SC" w:eastAsia="PingFang SC" w:cstheme="minorBidi"/>
      <w:color w:val="1D1E25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1E2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D1E25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D1E25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hao lin</cp:lastModifiedBy>
  <dcterms:modified xsi:type="dcterms:W3CDTF">2026-10-08T14:17:45Z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6D5EE22B4F578B9B8935C76A683DDC21_42</vt:lpwstr>
  </property>
</Properties>
</file>