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4400"/>
        <w:jc w:val="center"/>
        <w:tblLook w:firstColumn="1" w:firstRow="1" w:lastColumn="0" w:lastRow="0" w:noHBand="0" w:noVBand="1" w:val="04A0"/>
        <w:tblLayout w:type="fixed"/>
      </w:tblPr>
      <w:tblGrid>
        <w:gridCol w:w="144"/>
        <w:gridCol w:w="14256"/>
      </w:tblGrid>
      <w:tr>
        <w:tc>
          <w:tcPr>
            <w:tcW w:type="dxa" w:w="144"/>
            <w:tcBorders>
              <w:top w:val="nil"/>
              <w:start w:val="nil"/>
              <w:bottom w:val="nil"/>
              <w:end w:val="nil"/>
              <w:insideH w:val="nil"/>
              <w:insideV w:val="nil"/>
            </w:tcBorders>
            <w:shd w:fill="20A4B5"/>
            <w:tcMar>
              <w:top w:w="0" w:type="dxa"/>
              <w:start w:w="0" w:type="dxa"/>
              <w:bottom w:w="0" w:type="dxa"/>
              <w:end w:w="0" w:type="dxa"/>
            </w:tcMar>
          </w:tcPr>
          <w:p/>
        </w:tc>
        <w:tc>
          <w:tcPr>
            <w:tcW w:type="dxa" w:w="14256"/>
            <w:tcBorders>
              <w:top w:val="nil"/>
              <w:start w:val="nil"/>
              <w:bottom w:val="nil"/>
              <w:end w:val="nil"/>
              <w:insideH w:val="nil"/>
              <w:insideV w:val="nil"/>
            </w:tcBorders>
            <w:tcMar>
              <w:top w:w="0" w:type="dxa"/>
              <w:start w:w="130" w:type="dxa"/>
              <w:bottom w:w="0" w:type="dxa"/>
              <w:end w:w="0" w:type="dxa"/>
            </w:tcMar>
          </w:tcPr>
          <w:p>
            <w:pPr>
              <w:spacing w:after="0"/>
            </w:pPr>
            <w:r>
              <w:rPr>
                <w:rFonts w:ascii="Arial" w:hAnsi="Arial"/>
                <w:b/>
                <w:color w:val="127C78"/>
                <w:sz w:val="15"/>
              </w:rPr>
              <w:t>REQUIREMENTS BASELINE</w:t>
            </w:r>
          </w:p>
          <w:p>
            <w:pPr>
              <w:keepNext/>
              <w:spacing w:before="20" w:after="0"/>
            </w:pPr>
            <w:r>
              <w:rPr>
                <w:rFonts w:ascii="Arial" w:hAnsi="Arial"/>
                <w:b/>
                <w:color w:val="173B57"/>
                <w:sz w:val="37"/>
              </w:rPr>
              <w:t>Ollama-Based Customer-Service Chatbot</w:t>
            </w:r>
          </w:p>
          <w:p>
            <w:pPr>
              <w:spacing w:before="40" w:after="0" w:line="245" w:lineRule="auto"/>
            </w:pPr>
            <w:r>
              <w:rPr>
                <w:rFonts w:ascii="Arial" w:hAnsi="Arial"/>
                <w:color w:val="4A5A66"/>
                <w:sz w:val="16"/>
              </w:rPr>
              <w:t>A private-by-design, web-first assistant for e-commerce support - grounded in approved content, connected to deterministic commerce APIs, and designed for safe human escalation.</w:t>
            </w:r>
          </w:p>
        </w:tc>
      </w:tr>
    </w:tbl>
    <w:p>
      <w:pPr>
        <w:spacing w:after="0"/>
      </w:pPr>
    </w:p>
    <w:tbl>
      <w:tblPr>
        <w:tblW w:type="dxa" w:w="14400"/>
        <w:tblLook w:firstColumn="1" w:firstRow="1" w:lastColumn="0" w:lastRow="0" w:noHBand="0" w:noVBand="1" w:val="04A0"/>
        <w:tblLayout w:type="fixed"/>
      </w:tblPr>
      <w:tblGrid>
        <w:gridCol w:w="10512"/>
        <w:gridCol w:w="3888"/>
      </w:tblGrid>
      <w:tr>
        <w:tc>
          <w:tcPr>
            <w:tcW w:type="dxa" w:w="10512"/>
            <w:tcBorders>
              <w:top w:val="nil"/>
              <w:start w:val="nil"/>
              <w:bottom w:val="nil"/>
              <w:end w:val="nil"/>
              <w:insideH w:val="nil"/>
              <w:insideV w:val="nil"/>
            </w:tcBorders>
            <w:shd w:fill="EAF4F8"/>
            <w:tcMar>
              <w:top w:w="105" w:type="dxa"/>
              <w:start w:w="130" w:type="dxa"/>
              <w:bottom w:w="105" w:type="dxa"/>
              <w:end w:w="130" w:type="dxa"/>
            </w:tcMar>
          </w:tcPr>
          <w:p>
            <w:pPr>
              <w:spacing w:line="254" w:lineRule="auto"/>
            </w:pPr>
            <w:r>
              <w:rPr>
                <w:rFonts w:ascii="Arial" w:hAnsi="Arial"/>
                <w:b/>
                <w:i w:val="0"/>
                <w:color w:val="1E6A8D"/>
                <w:sz w:val="16"/>
              </w:rPr>
              <w:t xml:space="preserve">EXECUTIVE INTENT  </w:t>
            </w:r>
            <w:r>
              <w:rPr>
                <w:rFonts w:ascii="Arial" w:hAnsi="Arial"/>
                <w:b w:val="0"/>
                <w:i w:val="0"/>
                <w:color w:val="14213D"/>
                <w:sz w:val="16"/>
              </w:rPr>
              <w:t>Resolve routine product, policy, and authenticated order-status questions while preserving customer privacy and agent control. The model never writes directly to commerce data; every business operation passes through an authorized, schema-validated tool.</w:t>
            </w:r>
          </w:p>
        </w:tc>
        <w:tc>
          <w:tcPr>
            <w:tcW w:type="dxa" w:w="3888"/>
            <w:tcBorders>
              <w:top w:val="nil"/>
              <w:start w:val="nil"/>
              <w:bottom w:val="nil"/>
              <w:end w:val="nil"/>
              <w:insideH w:val="nil"/>
              <w:insideV w:val="nil"/>
            </w:tcBorders>
            <w:shd w:fill="F3F6F8"/>
            <w:tcMar>
              <w:top w:w="105" w:type="dxa"/>
              <w:start w:w="130" w:type="dxa"/>
              <w:bottom w:w="105" w:type="dxa"/>
              <w:end w:w="130" w:type="dxa"/>
            </w:tcMar>
          </w:tcPr>
          <w:p>
            <w:pPr>
              <w:spacing w:line="252" w:lineRule="auto"/>
            </w:pPr>
            <w:r>
              <w:rPr>
                <w:rFonts w:ascii="Arial" w:hAnsi="Arial"/>
                <w:b/>
                <w:i w:val="0"/>
                <w:color w:val="173B57"/>
                <w:sz w:val="16"/>
              </w:rPr>
              <w:t>DOCUMENT CONTROL</w:t>
              <w:br/>
            </w:r>
            <w:r>
              <w:rPr>
                <w:rFonts w:ascii="Arial" w:hAnsi="Arial"/>
                <w:b/>
                <w:i w:val="0"/>
                <w:color w:val="14213D"/>
                <w:sz w:val="15"/>
              </w:rPr>
              <w:t xml:space="preserve">Status  </w:t>
            </w:r>
            <w:r>
              <w:rPr>
                <w:rFonts w:ascii="Arial" w:hAnsi="Arial"/>
                <w:b w:val="0"/>
                <w:i w:val="0"/>
                <w:color w:val="14213D"/>
                <w:sz w:val="15"/>
              </w:rPr>
              <w:t>Planning baseline</w:t>
              <w:br/>
            </w:r>
            <w:r>
              <w:rPr>
                <w:rFonts w:ascii="Arial" w:hAnsi="Arial"/>
                <w:b/>
                <w:i w:val="0"/>
                <w:color w:val="14213D"/>
                <w:sz w:val="15"/>
              </w:rPr>
              <w:t xml:space="preserve">Audience  </w:t>
            </w:r>
            <w:r>
              <w:rPr>
                <w:rFonts w:ascii="Arial" w:hAnsi="Arial"/>
                <w:b w:val="0"/>
                <w:i w:val="0"/>
                <w:color w:val="14213D"/>
                <w:sz w:val="15"/>
              </w:rPr>
              <w:t>Product, Architecture, Engineering, Security</w:t>
              <w:br/>
            </w:r>
            <w:r>
              <w:rPr>
                <w:rFonts w:ascii="Arial" w:hAnsi="Arial"/>
                <w:b/>
                <w:i w:val="0"/>
                <w:color w:val="14213D"/>
                <w:sz w:val="15"/>
              </w:rPr>
              <w:t xml:space="preserve">Decision  </w:t>
            </w:r>
            <w:r>
              <w:rPr>
                <w:rFonts w:ascii="Arial" w:hAnsi="Arial"/>
                <w:b w:val="0"/>
                <w:i w:val="0"/>
                <w:color w:val="14213D"/>
                <w:sz w:val="15"/>
              </w:rPr>
              <w:t>Approve scope and Phase 0 discovery</w:t>
            </w:r>
          </w:p>
        </w:tc>
      </w:tr>
    </w:tbl>
    <w:p>
      <w:pPr>
        <w:spacing w:before="0" w:after="60" w:line="24" w:lineRule="auto"/>
      </w:pPr>
      <w: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1. SCOPE AND MEASURABLE OUTCOMES</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MVP boundary</w:t>
            </w:r>
          </w:p>
        </w:tc>
      </w:tr>
    </w:tbl>
    <w:tbl>
      <w:tblPr>
        <w:tblW w:type="dxa" w:w="14400"/>
        <w:tblLook w:firstColumn="1" w:firstRow="1" w:lastColumn="0" w:lastRow="0" w:noHBand="0" w:noVBand="1" w:val="04A0"/>
        <w:tblLayout w:type="fixed"/>
      </w:tblPr>
      <w:tblGrid>
        <w:gridCol w:w="3600"/>
        <w:gridCol w:w="3600"/>
        <w:gridCol w:w="3600"/>
        <w:gridCol w:w="3600"/>
      </w:tblGrid>
      <w:tr>
        <w:trPr>
          <w:cantSplit/>
        </w:trPr>
        <w:tc>
          <w:tcPr>
            <w:tcW w:type="dxa" w:w="3600"/>
            <w:vAlign w:val="center"/>
            <w:tcMar>
              <w:top w:w="48" w:type="dxa"/>
              <w:start w:w="100" w:type="dxa"/>
              <w:bottom w:w="48" w:type="dxa"/>
              <w:end w:w="100" w:type="dxa"/>
            </w:tcMar>
            <w:shd w:fill="1E6A8D"/>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5"/>
              </w:rPr>
              <w:t>SELF-SERVICE</w:t>
            </w:r>
          </w:p>
        </w:tc>
        <w:tc>
          <w:tcPr>
            <w:tcW w:type="dxa" w:w="3600"/>
            <w:vAlign w:val="center"/>
            <w:tcMar>
              <w:top w:w="48" w:type="dxa"/>
              <w:start w:w="100" w:type="dxa"/>
              <w:bottom w:w="48" w:type="dxa"/>
              <w:end w:w="100" w:type="dxa"/>
            </w:tcMar>
            <w:shd w:fill="1E6A8D"/>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5"/>
              </w:rPr>
              <w:t>TRUST</w:t>
            </w:r>
          </w:p>
        </w:tc>
        <w:tc>
          <w:tcPr>
            <w:tcW w:type="dxa" w:w="3600"/>
            <w:vAlign w:val="center"/>
            <w:tcMar>
              <w:top w:w="48" w:type="dxa"/>
              <w:start w:w="100" w:type="dxa"/>
              <w:bottom w:w="48" w:type="dxa"/>
              <w:end w:w="100" w:type="dxa"/>
            </w:tcMar>
            <w:shd w:fill="1E6A8D"/>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5"/>
              </w:rPr>
              <w:t>PRIVACY</w:t>
            </w:r>
          </w:p>
        </w:tc>
        <w:tc>
          <w:tcPr>
            <w:tcW w:type="dxa" w:w="3600"/>
            <w:vAlign w:val="center"/>
            <w:tcMar>
              <w:top w:w="48" w:type="dxa"/>
              <w:start w:w="100" w:type="dxa"/>
              <w:bottom w:w="48" w:type="dxa"/>
              <w:end w:w="100" w:type="dxa"/>
            </w:tcMar>
            <w:shd w:fill="1E6A8D"/>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5"/>
              </w:rPr>
              <w:t>OPERABILITY</w:t>
            </w:r>
          </w:p>
        </w:tc>
      </w:tr>
      <w:tr>
        <w:trPr>
          <w:cantSplit/>
        </w:trPr>
        <w:tc>
          <w:tcPr>
            <w:tcW w:type="dxa" w:w="3600"/>
            <w:vAlign w:val="center"/>
            <w:tcMar>
              <w:top w:w="65" w:type="dxa"/>
              <w:start w:w="100" w:type="dxa"/>
              <w:bottom w:w="6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5"/>
              </w:rPr>
              <w:t>Product, policy, FAQ and authenticated order-status support.</w:t>
            </w:r>
          </w:p>
        </w:tc>
        <w:tc>
          <w:tcPr>
            <w:tcW w:type="dxa" w:w="3600"/>
            <w:vAlign w:val="center"/>
            <w:tcMar>
              <w:top w:w="65" w:type="dxa"/>
              <w:start w:w="100" w:type="dxa"/>
              <w:bottom w:w="6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5"/>
              </w:rPr>
              <w:t>Citations, abstention, policy controls and agent handoff.</w:t>
            </w:r>
          </w:p>
        </w:tc>
        <w:tc>
          <w:tcPr>
            <w:tcW w:type="dxa" w:w="3600"/>
            <w:vAlign w:val="center"/>
            <w:tcMar>
              <w:top w:w="65" w:type="dxa"/>
              <w:start w:w="100" w:type="dxa"/>
              <w:bottom w:w="6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5"/>
              </w:rPr>
              <w:t>Local inference, least-privilege tools and configurable retention.</w:t>
            </w:r>
          </w:p>
        </w:tc>
        <w:tc>
          <w:tcPr>
            <w:tcW w:type="dxa" w:w="3600"/>
            <w:vAlign w:val="center"/>
            <w:tcMar>
              <w:top w:w="65" w:type="dxa"/>
              <w:start w:w="100" w:type="dxa"/>
              <w:bottom w:w="6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5"/>
              </w:rPr>
              <w:t>Health, traces, quality evaluation, versioning and rollback.</w:t>
            </w:r>
          </w:p>
        </w:tc>
      </w:tr>
    </w:tbl>
    <w:p>
      <w:pPr>
        <w:spacing w:before="40" w:after="60"/>
      </w:pPr>
      <w:r>
        <w:rPr>
          <w:rFonts w:ascii="Arial" w:hAnsi="Arial"/>
          <w:b/>
          <w:i w:val="0"/>
          <w:color w:val="2E7D5B"/>
          <w:sz w:val="15"/>
        </w:rPr>
        <w:t xml:space="preserve">IN SCOPE  </w:t>
      </w:r>
      <w:r>
        <w:rPr>
          <w:rFonts w:ascii="Arial" w:hAnsi="Arial"/>
          <w:b w:val="0"/>
          <w:i w:val="0"/>
          <w:color w:val="14213D"/>
          <w:sz w:val="15"/>
        </w:rPr>
        <w:t xml:space="preserve">Responsive web chat; English; RAG over approved policies/catalog content; authenticated read-only order tools; feedback; handoff; role-based knowledge publishing.  </w:t>
      </w:r>
      <w:r>
        <w:rPr>
          <w:rFonts w:ascii="Arial" w:hAnsi="Arial"/>
          <w:b/>
          <w:i w:val="0"/>
          <w:color w:val="A84646"/>
          <w:sz w:val="15"/>
        </w:rPr>
        <w:t xml:space="preserve">DEFERRED  </w:t>
      </w:r>
      <w:r>
        <w:rPr>
          <w:rFonts w:ascii="Arial" w:hAnsi="Arial"/>
          <w:b w:val="0"/>
          <w:i w:val="0"/>
          <w:color w:val="14213D"/>
          <w:sz w:val="15"/>
        </w:rPr>
        <w:t>Payments, refunds, order mutation, voice/social channels, multilingual support, autonomous outbound actions and model fine-tuning.</w:t>
      </w: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2. FUNCTIONAL REQUIREMENTS</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Must-have unless marked</w:t>
            </w:r>
          </w:p>
        </w:tc>
      </w:tr>
    </w:tbl>
    <w:tbl>
      <w:tblPr>
        <w:tblW w:type="dxa" w:w="14400"/>
        <w:tblLook w:firstColumn="1" w:firstRow="1" w:lastColumn="0" w:lastRow="0" w:noHBand="0" w:noVBand="1" w:val="04A0"/>
        <w:tblLayout w:type="fixed"/>
      </w:tblPr>
      <w:tblGrid>
        <w:gridCol w:w="1007"/>
        <w:gridCol w:w="2232"/>
        <w:gridCol w:w="10008"/>
        <w:gridCol w:w="1152"/>
      </w:tblGrid>
      <w:tr>
        <w:trPr>
          <w:tblHeader w:val="true"/>
        </w:trPr>
        <w:tc>
          <w:tcPr>
            <w:tcW w:type="dxa" w:w="1007"/>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ID</w:t>
            </w:r>
          </w:p>
        </w:tc>
        <w:tc>
          <w:tcPr>
            <w:tcW w:type="dxa" w:w="2232"/>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CAPABILITY</w:t>
            </w:r>
          </w:p>
        </w:tc>
        <w:tc>
          <w:tcPr>
            <w:tcW w:type="dxa" w:w="10008"/>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TESTABLE REQUIREMENT</w:t>
            </w:r>
          </w:p>
        </w:tc>
        <w:tc>
          <w:tcPr>
            <w:tcW w:type="dxa" w:w="1152"/>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PRIORITY</w:t>
            </w:r>
          </w:p>
        </w:tc>
      </w:tr>
      <w:tr>
        <w:trPr>
          <w:cantSplit/>
        </w:trPr>
        <w:tc>
          <w:tcPr>
            <w:tcW w:type="dxa" w:w="1007"/>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FR-01</w:t>
            </w:r>
          </w:p>
        </w:tc>
        <w:tc>
          <w:tcPr>
            <w:tcW w:type="dxa" w:w="223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Customer experience</w:t>
            </w:r>
          </w:p>
        </w:tc>
        <w:tc>
          <w:tcPr>
            <w:tcW w:type="dxa" w:w="10008"/>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Embed a responsive Angular chat; stream responses; show sources, feedback and handoff; meet keyboard and screen-reader expectations.</w:t>
            </w:r>
          </w:p>
        </w:tc>
        <w:tc>
          <w:tcPr>
            <w:tcW w:type="dxa" w:w="115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FR-02</w:t>
            </w:r>
          </w:p>
        </w:tc>
        <w:tc>
          <w:tcPr>
            <w:tcW w:type="dxa" w:w="223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Session + identity</w:t>
            </w:r>
          </w:p>
        </w:tc>
        <w:tc>
          <w:tcPr>
            <w:tcW w:type="dxa" w:w="1000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Support guest and authenticated sessions, expiry and correlation IDs; bind customer identity only after verified authentication.</w:t>
            </w:r>
          </w:p>
        </w:tc>
        <w:tc>
          <w:tcPr>
            <w:tcW w:type="dxa" w:w="115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FR-03</w:t>
            </w:r>
          </w:p>
        </w:tc>
        <w:tc>
          <w:tcPr>
            <w:tcW w:type="dxa" w:w="223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Routing + state</w:t>
            </w:r>
          </w:p>
        </w:tc>
        <w:tc>
          <w:tcPr>
            <w:tcW w:type="dxa" w:w="10008"/>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Route each turn to FAQ/RAG, commerce tool or human handoff using configurable policy and confidence thresholds; preserve bounded context.</w:t>
            </w:r>
          </w:p>
        </w:tc>
        <w:tc>
          <w:tcPr>
            <w:tcW w:type="dxa" w:w="115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FR-04</w:t>
            </w:r>
          </w:p>
        </w:tc>
        <w:tc>
          <w:tcPr>
            <w:tcW w:type="dxa" w:w="223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Grounded answers</w:t>
            </w:r>
          </w:p>
        </w:tc>
        <w:tc>
          <w:tcPr>
            <w:tcW w:type="dxa" w:w="1000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Ingest approved knowledge with metadata and versions; retrieve, rank and cite evidence; abstain when supporting evidence is insufficient.</w:t>
            </w:r>
          </w:p>
        </w:tc>
        <w:tc>
          <w:tcPr>
            <w:tcW w:type="dxa" w:w="115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FR-05</w:t>
            </w:r>
          </w:p>
        </w:tc>
        <w:tc>
          <w:tcPr>
            <w:tcW w:type="dxa" w:w="223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Commerce tools</w:t>
            </w:r>
          </w:p>
        </w:tc>
        <w:tc>
          <w:tcPr>
            <w:tcW w:type="dxa" w:w="10008"/>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Call allowlisted catalog and order-status APIs through typed schemas with authorization, timeout, retry, idempotency and PII masking controls.</w:t>
            </w:r>
          </w:p>
        </w:tc>
        <w:tc>
          <w:tcPr>
            <w:tcW w:type="dxa" w:w="115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FR-06</w:t>
            </w:r>
          </w:p>
        </w:tc>
        <w:tc>
          <w:tcPr>
            <w:tcW w:type="dxa" w:w="223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Safety + privacy</w:t>
            </w:r>
          </w:p>
        </w:tc>
        <w:tc>
          <w:tcPr>
            <w:tcW w:type="dxa" w:w="1000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Screen prompt injection, enforce allow/deny policy, redact secrets/PII from logs, apply retention rules and audit privileged changes.</w:t>
            </w:r>
          </w:p>
        </w:tc>
        <w:tc>
          <w:tcPr>
            <w:tcW w:type="dxa" w:w="115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FR-07</w:t>
            </w:r>
          </w:p>
        </w:tc>
        <w:tc>
          <w:tcPr>
            <w:tcW w:type="dxa" w:w="223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Human handoff</w:t>
            </w:r>
          </w:p>
        </w:tc>
        <w:tc>
          <w:tcPr>
            <w:tcW w:type="dxa" w:w="10008"/>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Create or enrich a support ticket with user-visible transcript, sources, identity context and reason for escalation - never hidden reasoning.</w:t>
            </w:r>
          </w:p>
        </w:tc>
        <w:tc>
          <w:tcPr>
            <w:tcW w:type="dxa" w:w="1152"/>
            <w:vAlign w:val="center"/>
            <w:tcMar>
              <w:top w:w="43" w:type="dxa"/>
              <w:start w:w="100" w:type="dxa"/>
              <w:bottom w:w="43"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r>
        <w:trPr>
          <w:cantSplit/>
        </w:trPr>
        <w:tc>
          <w:tcPr>
            <w:tcW w:type="dxa" w:w="1007"/>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E6A8D"/>
                <w:sz w:val="14"/>
              </w:rPr>
              <w:t>FR-08</w:t>
            </w:r>
          </w:p>
        </w:tc>
        <w:tc>
          <w:tcPr>
            <w:tcW w:type="dxa" w:w="223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4213D"/>
                <w:sz w:val="14"/>
              </w:rPr>
              <w:t>Administration + ops</w:t>
            </w:r>
          </w:p>
        </w:tc>
        <w:tc>
          <w:tcPr>
            <w:tcW w:type="dxa" w:w="1000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Provide role-based publish/rollback, model/prompt configuration, health checks, metrics, traces, alerts and an evaluation dashboard.</w:t>
            </w:r>
          </w:p>
        </w:tc>
        <w:tc>
          <w:tcPr>
            <w:tcW w:type="dxa" w:w="1152"/>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2E7D5B"/>
                <w:sz w:val="14"/>
              </w:rPr>
              <w:t>MUST</w:t>
            </w:r>
          </w:p>
        </w:tc>
      </w:tr>
    </w:tbl>
    <w:p>
      <w:pPr>
        <w:spacing w:before="0" w:after="60" w:line="24" w:lineRule="auto"/>
      </w:pPr>
      <w: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3. NON-FUNCTIONAL ACCEPTANCE TARGETS</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Validate on target hardware</w:t>
            </w:r>
          </w:p>
        </w:tc>
      </w:tr>
    </w:tbl>
    <w:tbl>
      <w:tblPr>
        <w:tblW w:type="dxa" w:w="14400"/>
        <w:tblLook w:firstColumn="1" w:firstRow="1" w:lastColumn="0" w:lastRow="0" w:noHBand="0" w:noVBand="1" w:val="04A0"/>
        <w:tblLayout w:type="fixed"/>
      </w:tblPr>
      <w:tblGrid>
        <w:gridCol w:w="4795"/>
        <w:gridCol w:w="4809"/>
        <w:gridCol w:w="4795"/>
      </w:tblGrid>
      <w:tr>
        <w:tc>
          <w:tcPr>
            <w:tcW w:type="dxa" w:w="4795"/>
            <w:vAlign w:val="center"/>
            <w:tcMar>
              <w:top w:w="48" w:type="dxa"/>
              <w:start w:w="100" w:type="dxa"/>
              <w:bottom w:w="48"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4"/>
              </w:rPr>
              <w:t xml:space="preserve">SERVICE  </w:t>
            </w:r>
            <w:r>
              <w:rPr>
                <w:rFonts w:ascii="Arial" w:hAnsi="Arial"/>
                <w:b w:val="0"/>
                <w:i w:val="0"/>
                <w:color w:val="14213D"/>
                <w:sz w:val="14"/>
              </w:rPr>
              <w:t>99.5% application availability target during the pilot service window.</w:t>
              <w:br/>
            </w:r>
            <w:r>
              <w:rPr>
                <w:rFonts w:ascii="Arial" w:hAnsi="Arial"/>
                <w:b/>
                <w:i w:val="0"/>
                <w:color w:val="127C78"/>
                <w:sz w:val="14"/>
              </w:rPr>
              <w:t xml:space="preserve">SECURITY  </w:t>
            </w:r>
            <w:r>
              <w:rPr>
                <w:rFonts w:ascii="Arial" w:hAnsi="Arial"/>
                <w:b w:val="0"/>
                <w:i w:val="0"/>
                <w:color w:val="14213D"/>
                <w:sz w:val="14"/>
              </w:rPr>
              <w:t>TLS 1.2+, RBAC, managed secrets and audit coverage for privileged changes.</w:t>
            </w:r>
          </w:p>
        </w:tc>
        <w:tc>
          <w:tcPr>
            <w:tcW w:type="dxa" w:w="4809"/>
            <w:vAlign w:val="center"/>
            <w:tcMar>
              <w:top w:w="48" w:type="dxa"/>
              <w:start w:w="100" w:type="dxa"/>
              <w:bottom w:w="48"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4"/>
              </w:rPr>
              <w:t xml:space="preserve">LATENCY  </w:t>
            </w:r>
            <w:r>
              <w:rPr>
                <w:rFonts w:ascii="Arial" w:hAnsi="Arial"/>
                <w:b w:val="0"/>
                <w:i w:val="0"/>
                <w:color w:val="14213D"/>
                <w:sz w:val="14"/>
              </w:rPr>
              <w:t>p95 first token &lt;= 4 s and complete answer &lt;= 15 s at agreed pilot concurrency.</w:t>
              <w:br/>
            </w:r>
            <w:r>
              <w:rPr>
                <w:rFonts w:ascii="Arial" w:hAnsi="Arial"/>
                <w:b/>
                <w:i w:val="0"/>
                <w:color w:val="127C78"/>
                <w:sz w:val="14"/>
              </w:rPr>
              <w:t xml:space="preserve">PRIVACY  </w:t>
            </w:r>
            <w:r>
              <w:rPr>
                <w:rFonts w:ascii="Arial" w:hAnsi="Arial"/>
                <w:b w:val="0"/>
                <w:i w:val="0"/>
                <w:color w:val="14213D"/>
                <w:sz w:val="14"/>
              </w:rPr>
              <w:t>No unnecessary raw PII in prompts/logs; 30-day transcript retention default, configurable.</w:t>
            </w:r>
          </w:p>
        </w:tc>
        <w:tc>
          <w:tcPr>
            <w:tcW w:type="dxa" w:w="4795"/>
            <w:vAlign w:val="center"/>
            <w:tcMar>
              <w:top w:w="48" w:type="dxa"/>
              <w:start w:w="100" w:type="dxa"/>
              <w:bottom w:w="48"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4"/>
              </w:rPr>
              <w:t xml:space="preserve">QUALITY  </w:t>
            </w:r>
            <w:r>
              <w:rPr>
                <w:rFonts w:ascii="Arial" w:hAnsi="Arial"/>
                <w:b w:val="0"/>
                <w:i w:val="0"/>
                <w:color w:val="14213D"/>
                <w:sz w:val="14"/>
              </w:rPr>
              <w:t>&gt;= 90% citation coverage for knowledge answers; unauthorized tool actions = 0.</w:t>
              <w:br/>
            </w:r>
            <w:r>
              <w:rPr>
                <w:rFonts w:ascii="Arial" w:hAnsi="Arial"/>
                <w:b/>
                <w:i w:val="0"/>
                <w:color w:val="127C78"/>
                <w:sz w:val="14"/>
              </w:rPr>
              <w:t xml:space="preserve">RECOVERY  </w:t>
            </w:r>
            <w:r>
              <w:rPr>
                <w:rFonts w:ascii="Arial" w:hAnsi="Arial"/>
                <w:b w:val="0"/>
                <w:i w:val="0"/>
                <w:color w:val="14213D"/>
                <w:sz w:val="14"/>
              </w:rPr>
              <w:t>Configuration/index RPO &lt;= 24 h and RTO &lt;= 4 h; model and prompt rollback tested.</w:t>
            </w:r>
          </w:p>
        </w:tc>
      </w:tr>
    </w:tbl>
    <w:p>
      <w:r>
        <w:br w:type="page"/>
      </w:r>
    </w:p>
    <w:tbl>
      <w:tblPr>
        <w:tblW w:type="dxa" w:w="14400"/>
        <w:jc w:val="center"/>
        <w:tblLook w:firstColumn="1" w:firstRow="1" w:lastColumn="0" w:lastRow="0" w:noHBand="0" w:noVBand="1" w:val="04A0"/>
        <w:tblLayout w:type="fixed"/>
      </w:tblPr>
      <w:tblGrid>
        <w:gridCol w:w="144"/>
        <w:gridCol w:w="14256"/>
      </w:tblGrid>
      <w:tr>
        <w:tc>
          <w:tcPr>
            <w:tcW w:type="dxa" w:w="144"/>
            <w:tcBorders>
              <w:top w:val="nil"/>
              <w:start w:val="nil"/>
              <w:bottom w:val="nil"/>
              <w:end w:val="nil"/>
              <w:insideH w:val="nil"/>
              <w:insideV w:val="nil"/>
            </w:tcBorders>
            <w:shd w:fill="20A4B5"/>
            <w:tcMar>
              <w:top w:w="0" w:type="dxa"/>
              <w:start w:w="0" w:type="dxa"/>
              <w:bottom w:w="0" w:type="dxa"/>
              <w:end w:w="0" w:type="dxa"/>
            </w:tcMar>
          </w:tcPr>
          <w:p/>
        </w:tc>
        <w:tc>
          <w:tcPr>
            <w:tcW w:type="dxa" w:w="14256"/>
            <w:tcBorders>
              <w:top w:val="nil"/>
              <w:start w:val="nil"/>
              <w:bottom w:val="nil"/>
              <w:end w:val="nil"/>
              <w:insideH w:val="nil"/>
              <w:insideV w:val="nil"/>
            </w:tcBorders>
            <w:tcMar>
              <w:top w:w="0" w:type="dxa"/>
              <w:start w:w="130" w:type="dxa"/>
              <w:bottom w:w="0" w:type="dxa"/>
              <w:end w:w="0" w:type="dxa"/>
            </w:tcMar>
          </w:tcPr>
          <w:p>
            <w:pPr>
              <w:spacing w:after="0"/>
            </w:pPr>
            <w:r>
              <w:rPr>
                <w:rFonts w:ascii="Arial" w:hAnsi="Arial"/>
                <w:b/>
                <w:color w:val="127C78"/>
                <w:sz w:val="15"/>
              </w:rPr>
              <w:t>SOLUTION DESIGN</w:t>
            </w:r>
          </w:p>
          <w:p>
            <w:pPr>
              <w:keepNext/>
              <w:spacing w:before="20" w:after="0"/>
            </w:pPr>
            <w:r>
              <w:rPr>
                <w:rFonts w:ascii="Arial" w:hAnsi="Arial"/>
                <w:b/>
                <w:color w:val="173B57"/>
                <w:sz w:val="37"/>
              </w:rPr>
              <w:t>Reference Architecture and Major Components</w:t>
            </w:r>
          </w:p>
          <w:p>
            <w:pPr>
              <w:spacing w:before="40" w:after="0" w:line="245" w:lineRule="auto"/>
            </w:pPr>
            <w:r>
              <w:rPr>
                <w:rFonts w:ascii="Arial" w:hAnsi="Arial"/>
                <w:color w:val="4A5A66"/>
                <w:sz w:val="16"/>
              </w:rPr>
              <w:t>Modular services in containers: Docker Compose for the pilot; Kubernetes/OpenShift when scaling or isolation requirements justify it.</w:t>
            </w:r>
          </w:p>
        </w:tc>
      </w:tr>
    </w:tbl>
    <w:p>
      <w:pPr>
        <w:spacing w:after="0"/>
      </w:pP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4. LOGICAL ARCHITECTURE</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Trust controls apply end to end</w:t>
            </w:r>
          </w:p>
        </w:tc>
      </w:tr>
    </w:tbl>
    <w:p>
      <w:pPr>
        <w:spacing w:before="60" w:after="40"/>
        <w:jc w:val="center"/>
      </w:pPr>
      <w:r>
        <w:drawing>
          <wp:inline xmlns:a="http://schemas.openxmlformats.org/drawingml/2006/main" xmlns:pic="http://schemas.openxmlformats.org/drawingml/2006/picture">
            <wp:extent cx="9098280" cy="3119410"/>
            <wp:docPr id="1" name="Picture 1" title="Ollama customer-service chatbot logical architecture" descr="Channels and API gateway feed a controlled conversation orchestrator, RAG service and allowlisted tool gateway connected to local Ollama inference, approved knowledge, state stores, commerce APIs and human handoff. Identity, policy, audit and observability apply end to end."/>
            <wp:cNvGraphicFramePr>
              <a:graphicFrameLocks noChangeAspect="1"/>
            </wp:cNvGraphicFramePr>
            <a:graphic>
              <a:graphicData uri="http://schemas.openxmlformats.org/drawingml/2006/picture">
                <pic:pic>
                  <pic:nvPicPr>
                    <pic:cNvPr id="0" name="ollama_chatbot_architecture.png"/>
                    <pic:cNvPicPr/>
                  </pic:nvPicPr>
                  <pic:blipFill>
                    <a:blip r:embed="rId11"/>
                    <a:stretch>
                      <a:fillRect/>
                    </a:stretch>
                  </pic:blipFill>
                  <pic:spPr>
                    <a:xfrm>
                      <a:off x="0" y="0"/>
                      <a:ext cx="9098280" cy="3119410"/>
                    </a:xfrm>
                    <a:prstGeom prst="rect"/>
                  </pic:spPr>
                </pic:pic>
              </a:graphicData>
            </a:graphic>
          </wp:inline>
        </w:drawing>
      </w:r>
    </w:p>
    <w:tbl>
      <w:tblPr>
        <w:tblW w:type="dxa" w:w="14400"/>
        <w:tblLook w:firstColumn="1" w:firstRow="1" w:lastColumn="0" w:lastRow="0" w:noHBand="0" w:noVBand="1" w:val="04A0"/>
        <w:tblLayout w:type="fixed"/>
      </w:tblPr>
      <w:tblGrid>
        <w:gridCol w:w="2390"/>
        <w:gridCol w:w="2404"/>
        <w:gridCol w:w="2404"/>
        <w:gridCol w:w="2404"/>
        <w:gridCol w:w="2404"/>
        <w:gridCol w:w="2390"/>
      </w:tblGrid>
      <w:tr>
        <w:tc>
          <w:tcPr>
            <w:tcW w:type="dxa" w:w="2390"/>
            <w:vAlign w:val="center"/>
            <w:tcMar>
              <w:top w:w="55" w:type="dxa"/>
              <w:start w:w="100" w:type="dxa"/>
              <w:bottom w:w="5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01</w:t>
              <w:br/>
            </w:r>
            <w:r>
              <w:rPr>
                <w:rFonts w:ascii="Arial" w:hAnsi="Arial"/>
                <w:b/>
                <w:i w:val="0"/>
                <w:color w:val="14213D"/>
                <w:sz w:val="14"/>
              </w:rPr>
              <w:t>Authenticate + normalize</w:t>
            </w:r>
          </w:p>
        </w:tc>
        <w:tc>
          <w:tcPr>
            <w:tcW w:type="dxa" w:w="2404"/>
            <w:vAlign w:val="center"/>
            <w:tcMar>
              <w:top w:w="55" w:type="dxa"/>
              <w:start w:w="100" w:type="dxa"/>
              <w:bottom w:w="55"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02</w:t>
              <w:br/>
            </w:r>
            <w:r>
              <w:rPr>
                <w:rFonts w:ascii="Arial" w:hAnsi="Arial"/>
                <w:b/>
                <w:i w:val="0"/>
                <w:color w:val="14213D"/>
                <w:sz w:val="14"/>
              </w:rPr>
              <w:t>Classify + select route</w:t>
            </w:r>
          </w:p>
        </w:tc>
        <w:tc>
          <w:tcPr>
            <w:tcW w:type="dxa" w:w="2404"/>
            <w:vAlign w:val="center"/>
            <w:tcMar>
              <w:top w:w="55" w:type="dxa"/>
              <w:start w:w="100" w:type="dxa"/>
              <w:bottom w:w="5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03</w:t>
              <w:br/>
            </w:r>
            <w:r>
              <w:rPr>
                <w:rFonts w:ascii="Arial" w:hAnsi="Arial"/>
                <w:b/>
                <w:i w:val="0"/>
                <w:color w:val="14213D"/>
                <w:sz w:val="14"/>
              </w:rPr>
              <w:t>Retrieve or call tool</w:t>
            </w:r>
          </w:p>
        </w:tc>
        <w:tc>
          <w:tcPr>
            <w:tcW w:type="dxa" w:w="2404"/>
            <w:vAlign w:val="center"/>
            <w:tcMar>
              <w:top w:w="55" w:type="dxa"/>
              <w:start w:w="100" w:type="dxa"/>
              <w:bottom w:w="55"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04</w:t>
              <w:br/>
            </w:r>
            <w:r>
              <w:rPr>
                <w:rFonts w:ascii="Arial" w:hAnsi="Arial"/>
                <w:b/>
                <w:i w:val="0"/>
                <w:color w:val="14213D"/>
                <w:sz w:val="14"/>
              </w:rPr>
              <w:t>Assemble prompt + infer</w:t>
            </w:r>
          </w:p>
        </w:tc>
        <w:tc>
          <w:tcPr>
            <w:tcW w:type="dxa" w:w="2404"/>
            <w:vAlign w:val="center"/>
            <w:tcMar>
              <w:top w:w="55" w:type="dxa"/>
              <w:start w:w="100" w:type="dxa"/>
              <w:bottom w:w="55"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05</w:t>
              <w:br/>
            </w:r>
            <w:r>
              <w:rPr>
                <w:rFonts w:ascii="Arial" w:hAnsi="Arial"/>
                <w:b/>
                <w:i w:val="0"/>
                <w:color w:val="14213D"/>
                <w:sz w:val="14"/>
              </w:rPr>
              <w:t>Validate, cite or abstain</w:t>
            </w:r>
          </w:p>
        </w:tc>
        <w:tc>
          <w:tcPr>
            <w:tcW w:type="dxa" w:w="2390"/>
            <w:vAlign w:val="center"/>
            <w:tcMar>
              <w:top w:w="55" w:type="dxa"/>
              <w:start w:w="100" w:type="dxa"/>
              <w:bottom w:w="55"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val="0"/>
                <w:color w:val="14213D"/>
                <w:sz w:val="16"/>
              </w:rPr>
            </w:r>
            <w:r>
              <w:rPr>
                <w:rFonts w:ascii="Arial" w:hAnsi="Arial"/>
                <w:b/>
                <w:i w:val="0"/>
                <w:color w:val="20A4B5"/>
                <w:sz w:val="17"/>
              </w:rPr>
              <w:t>06</w:t>
              <w:br/>
            </w:r>
            <w:r>
              <w:rPr>
                <w:rFonts w:ascii="Arial" w:hAnsi="Arial"/>
                <w:b/>
                <w:i w:val="0"/>
                <w:color w:val="14213D"/>
                <w:sz w:val="14"/>
              </w:rPr>
              <w:t>Respond, observe or hand off</w:t>
            </w:r>
          </w:p>
        </w:tc>
      </w:tr>
    </w:tbl>
    <w:p>
      <w:pPr>
        <w:spacing w:before="0" w:after="60" w:line="24" w:lineRule="auto"/>
      </w:pPr>
      <w: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5. COMPONENT RESPONSIBILITIES AND DESIGN DECISIONS</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FR traceability</w:t>
            </w:r>
          </w:p>
        </w:tc>
      </w:tr>
    </w:tbl>
    <w:tbl>
      <w:tblPr>
        <w:tblW w:type="dxa" w:w="14400"/>
        <w:tblLook w:firstColumn="1" w:firstRow="1" w:lastColumn="0" w:lastRow="0" w:noHBand="0" w:noVBand="1" w:val="04A0"/>
        <w:tblLayout w:type="fixed"/>
      </w:tblPr>
      <w:tblGrid>
        <w:gridCol w:w="2376"/>
        <w:gridCol w:w="4536"/>
        <w:gridCol w:w="6120"/>
        <w:gridCol w:w="1368"/>
      </w:tblGrid>
      <w:tr>
        <w:trPr>
          <w:tblHeader w:val="true"/>
        </w:trPr>
        <w:tc>
          <w:tcPr>
            <w:tcW w:type="dxa" w:w="2376"/>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COMPONENT</w:t>
            </w:r>
          </w:p>
        </w:tc>
        <w:tc>
          <w:tcPr>
            <w:tcW w:type="dxa" w:w="4536"/>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RESPONSIBILITY</w:t>
            </w:r>
          </w:p>
        </w:tc>
        <w:tc>
          <w:tcPr>
            <w:tcW w:type="dxa" w:w="6120"/>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KEY DESIGN DECISION</w:t>
            </w:r>
          </w:p>
        </w:tc>
        <w:tc>
          <w:tcPr>
            <w:tcW w:type="dxa" w:w="1368"/>
            <w:vAlign w:val="center"/>
            <w:tcMar>
              <w:top w:w="45" w:type="dxa"/>
              <w:start w:w="100" w:type="dxa"/>
              <w:bottom w:w="45"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MAP</w:t>
            </w:r>
          </w:p>
        </w:tc>
      </w:tr>
      <w:tr>
        <w:trPr>
          <w:cantSplit/>
        </w:trPr>
        <w:tc>
          <w:tcPr>
            <w:tcW w:type="dxa" w:w="237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Web widget + BFF</w:t>
            </w:r>
          </w:p>
        </w:tc>
        <w:tc>
          <w:tcPr>
            <w:tcW w:type="dxa" w:w="453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Angular UI; REST/SSE boundary; session token; input limits and rate limiting.</w:t>
            </w:r>
          </w:p>
        </w:tc>
        <w:tc>
          <w:tcPr>
            <w:tcW w:type="dxa" w:w="6120"/>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Keep channel logic out of orchestration; no customer credentials in browser storage.</w:t>
            </w:r>
          </w:p>
        </w:tc>
        <w:tc>
          <w:tcPr>
            <w:tcW w:type="dxa" w:w="1368"/>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FR-01/02</w:t>
            </w:r>
          </w:p>
        </w:tc>
      </w:tr>
      <w:tr>
        <w:trPr>
          <w:cantSplit/>
        </w:trPr>
        <w:tc>
          <w:tcPr>
            <w:tcW w:type="dxa" w:w="237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Conversation orchestrator</w:t>
            </w:r>
          </w:p>
        </w:tc>
        <w:tc>
          <w:tcPr>
            <w:tcW w:type="dxa" w:w="453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State machine, intent/policy route, prompt assembly, tool loop and final response validation.</w:t>
            </w:r>
          </w:p>
        </w:tc>
        <w:tc>
          <w:tcPr>
            <w:tcW w:type="dxa" w:w="6120"/>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Deterministic workflow owns control; model proposes but cannot self-authorize.</w:t>
            </w:r>
          </w:p>
        </w:tc>
        <w:tc>
          <w:tcPr>
            <w:tcW w:type="dxa" w:w="1368"/>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FR-02/03/06</w:t>
            </w:r>
          </w:p>
        </w:tc>
      </w:tr>
      <w:tr>
        <w:trPr>
          <w:cantSplit/>
        </w:trPr>
        <w:tc>
          <w:tcPr>
            <w:tcW w:type="dxa" w:w="237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RAG + ingestion</w:t>
            </w:r>
          </w:p>
        </w:tc>
        <w:tc>
          <w:tcPr>
            <w:tcW w:type="dxa" w:w="453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Parse, chunk, embed, index, retrieve, rerank and cite approved content; publish/rollback versions.</w:t>
            </w:r>
          </w:p>
        </w:tc>
        <w:tc>
          <w:tcPr>
            <w:tcW w:type="dxa" w:w="6120"/>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Filter by tenant, locale, product and effective date; abstain below evidence threshold.</w:t>
            </w:r>
          </w:p>
        </w:tc>
        <w:tc>
          <w:tcPr>
            <w:tcW w:type="dxa" w:w="1368"/>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FR-04/08</w:t>
            </w:r>
          </w:p>
        </w:tc>
      </w:tr>
      <w:tr>
        <w:trPr>
          <w:cantSplit/>
        </w:trPr>
        <w:tc>
          <w:tcPr>
            <w:tcW w:type="dxa" w:w="237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Tool gateway</w:t>
            </w:r>
          </w:p>
        </w:tc>
        <w:tc>
          <w:tcPr>
            <w:tcW w:type="dxa" w:w="453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Typed adapters for catalog, order status and ticketing with timeouts, retries and circuit breakers.</w:t>
            </w:r>
          </w:p>
        </w:tc>
        <w:tc>
          <w:tcPr>
            <w:tcW w:type="dxa" w:w="6120"/>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Allowlist only; validate input/output schemas; recheck authorization per call; idempotency keys.</w:t>
            </w:r>
          </w:p>
        </w:tc>
        <w:tc>
          <w:tcPr>
            <w:tcW w:type="dxa" w:w="1368"/>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FR-05/07</w:t>
            </w:r>
          </w:p>
        </w:tc>
      </w:tr>
      <w:tr>
        <w:trPr>
          <w:cantSplit/>
        </w:trPr>
        <w:tc>
          <w:tcPr>
            <w:tcW w:type="dxa" w:w="237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Ollama runtime</w:t>
            </w:r>
          </w:p>
        </w:tc>
        <w:tc>
          <w:tcPr>
            <w:tcW w:type="dxa" w:w="4536"/>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Local streaming chat and embedding inference with health, resource limits and pinned model artifacts.</w:t>
            </w:r>
          </w:p>
        </w:tc>
        <w:tc>
          <w:tcPr>
            <w:tcW w:type="dxa" w:w="6120"/>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Separate chat/embedding models; benchmark quantization; controlled upgrade and rollback.</w:t>
            </w:r>
          </w:p>
        </w:tc>
        <w:tc>
          <w:tcPr>
            <w:tcW w:type="dxa" w:w="1368"/>
            <w:vAlign w:val="center"/>
            <w:tcMar>
              <w:top w:w="48" w:type="dxa"/>
              <w:start w:w="100" w:type="dxa"/>
              <w:bottom w:w="48"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FR-03/04/08</w:t>
            </w:r>
          </w:p>
        </w:tc>
      </w:tr>
      <w:tr>
        <w:trPr>
          <w:cantSplit/>
        </w:trPr>
        <w:tc>
          <w:tcPr>
            <w:tcW w:type="dxa" w:w="237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Data, trust + operations</w:t>
            </w:r>
          </w:p>
        </w:tc>
        <w:tc>
          <w:tcPr>
            <w:tcW w:type="dxa" w:w="4536"/>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PostgreSQL/Redis/pgvector state; guardrails, handoff, OpenTelemetry traces, dashboards, alerts, evaluations and runbooks.</w:t>
            </w:r>
          </w:p>
        </w:tc>
        <w:tc>
          <w:tcPr>
            <w:tcW w:type="dxa" w:w="6120"/>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Encrypt and expire sensitive state; trace all calls; never log hidden reasoning; degrade safely to agent/FAQ.</w:t>
            </w:r>
          </w:p>
        </w:tc>
        <w:tc>
          <w:tcPr>
            <w:tcW w:type="dxa" w:w="1368"/>
            <w:vAlign w:val="center"/>
            <w:tcMar>
              <w:top w:w="48" w:type="dxa"/>
              <w:start w:w="100" w:type="dxa"/>
              <w:bottom w:w="48"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27C78"/>
                <w:sz w:val="14"/>
              </w:rPr>
              <w:t>FR-02/04/06/07/08</w:t>
            </w:r>
          </w:p>
        </w:tc>
      </w:tr>
    </w:tbl>
    <w:p>
      <w:pPr>
        <w:spacing w:before="60" w:after="0"/>
        <w:jc w:val="center"/>
      </w:pPr>
      <w:r>
        <w:rPr>
          <w:rFonts w:ascii="Arial" w:hAnsi="Arial"/>
          <w:b/>
          <w:i w:val="0"/>
          <w:color w:val="A84646"/>
          <w:sz w:val="14"/>
        </w:rPr>
        <w:t xml:space="preserve">SECURITY BOUNDARY  </w:t>
      </w:r>
      <w:r>
        <w:rPr>
          <w:rFonts w:ascii="Arial" w:hAnsi="Arial"/>
          <w:b/>
          <w:i w:val="0"/>
          <w:color w:val="14213D"/>
          <w:sz w:val="14"/>
        </w:rPr>
        <w:t>Retrieved text and model output are untrusted. Only authenticated application services may invoke allowlisted tools; the model has no direct database, shell or network access.</w:t>
      </w:r>
    </w:p>
    <w:tbl>
      <w:tblPr>
        <w:tblW w:type="dxa" w:w="14400"/>
        <w:jc w:val="center"/>
        <w:tblLook w:firstColumn="1" w:firstRow="1" w:lastColumn="0" w:lastRow="0" w:noHBand="0" w:noVBand="1" w:val="04A0"/>
        <w:tblLayout w:type="fixed"/>
      </w:tblPr>
      <w:tblGrid>
        <w:gridCol w:w="144"/>
        <w:gridCol w:w="14256"/>
      </w:tblGrid>
      <w:tr>
        <w:tc>
          <w:tcPr>
            <w:tcW w:type="dxa" w:w="144"/>
            <w:tcBorders>
              <w:top w:val="nil"/>
              <w:start w:val="nil"/>
              <w:bottom w:val="nil"/>
              <w:end w:val="nil"/>
              <w:insideH w:val="nil"/>
              <w:insideV w:val="nil"/>
            </w:tcBorders>
            <w:shd w:fill="20A4B5"/>
            <w:tcMar>
              <w:top w:w="0" w:type="dxa"/>
              <w:start w:w="0" w:type="dxa"/>
              <w:bottom w:w="0" w:type="dxa"/>
              <w:end w:w="0" w:type="dxa"/>
            </w:tcMar>
          </w:tcPr>
          <w:p/>
        </w:tc>
        <w:tc>
          <w:tcPr>
            <w:tcW w:type="dxa" w:w="14256"/>
            <w:tcBorders>
              <w:top w:val="nil"/>
              <w:start w:val="nil"/>
              <w:bottom w:val="nil"/>
              <w:end w:val="nil"/>
              <w:insideH w:val="nil"/>
              <w:insideV w:val="nil"/>
            </w:tcBorders>
            <w:tcMar>
              <w:top w:w="0" w:type="dxa"/>
              <w:start w:w="130" w:type="dxa"/>
              <w:bottom w:w="0" w:type="dxa"/>
              <w:end w:w="0" w:type="dxa"/>
            </w:tcMar>
          </w:tcPr>
          <w:p>
            <w:pPr>
              <w:spacing w:after="0"/>
            </w:pPr>
            <w:r>
              <w:rPr>
                <w:rFonts w:ascii="Arial" w:hAnsi="Arial"/>
                <w:b/>
                <w:color w:val="127C78"/>
                <w:sz w:val="15"/>
              </w:rPr>
              <w:t>DELIVERY PLAN</w:t>
            </w:r>
          </w:p>
          <w:p>
            <w:pPr>
              <w:keepNext/>
              <w:spacing w:before="20" w:after="0"/>
            </w:pPr>
            <w:r>
              <w:rPr>
                <w:rFonts w:ascii="Arial" w:hAnsi="Arial"/>
                <w:b/>
                <w:color w:val="173B57"/>
                <w:sz w:val="37"/>
              </w:rPr>
              <w:t>Implementation Phases, Acceptance and Assumptions</w:t>
            </w:r>
          </w:p>
          <w:p>
            <w:pPr>
              <w:spacing w:before="40" w:after="0" w:line="245" w:lineRule="auto"/>
            </w:pPr>
            <w:r>
              <w:rPr>
                <w:rFonts w:ascii="Arial" w:hAnsi="Arial"/>
                <w:color w:val="4A5A66"/>
                <w:sz w:val="16"/>
              </w:rPr>
              <w:t>Indicative MVP duration: 9-10 weeks with a small cross-functional team, subject to API readiness, content quality and target-hardware benchmarks.</w:t>
            </w:r>
          </w:p>
        </w:tc>
      </w:tr>
    </w:tbl>
    <w:p>
      <w:pPr>
        <w:spacing w:after="0"/>
      </w:pP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6. PHASED IMPLEMENTATION PLAN</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Each phase ends at a usable gate</w:t>
            </w:r>
          </w:p>
        </w:tc>
      </w:tr>
    </w:tbl>
    <w:tbl>
      <w:tblPr>
        <w:tblW w:type="dxa" w:w="14400"/>
        <w:tblLook w:firstColumn="1" w:firstRow="1" w:lastColumn="0" w:lastRow="0" w:noHBand="0" w:noVBand="1" w:val="04A0"/>
        <w:tblLayout w:type="fixed"/>
      </w:tblPr>
      <w:tblGrid>
        <w:gridCol w:w="792"/>
        <w:gridCol w:w="2232"/>
        <w:gridCol w:w="1007"/>
        <w:gridCol w:w="6696"/>
        <w:gridCol w:w="3671"/>
      </w:tblGrid>
      <w:tr>
        <w:trPr>
          <w:tblHeader w:val="true"/>
        </w:trPr>
        <w:tc>
          <w:tcPr>
            <w:tcW w:type="dxa" w:w="792"/>
            <w:vAlign w:val="center"/>
            <w:tcMar>
              <w:top w:w="48" w:type="dxa"/>
              <w:start w:w="100" w:type="dxa"/>
              <w:bottom w:w="48"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PHASE</w:t>
            </w:r>
          </w:p>
        </w:tc>
        <w:tc>
          <w:tcPr>
            <w:tcW w:type="dxa" w:w="2232"/>
            <w:vAlign w:val="center"/>
            <w:tcMar>
              <w:top w:w="48" w:type="dxa"/>
              <w:start w:w="100" w:type="dxa"/>
              <w:bottom w:w="48"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FOCUS</w:t>
            </w:r>
          </w:p>
        </w:tc>
        <w:tc>
          <w:tcPr>
            <w:tcW w:type="dxa" w:w="1007"/>
            <w:vAlign w:val="center"/>
            <w:tcMar>
              <w:top w:w="48" w:type="dxa"/>
              <w:start w:w="100" w:type="dxa"/>
              <w:bottom w:w="48"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TIME</w:t>
            </w:r>
          </w:p>
        </w:tc>
        <w:tc>
          <w:tcPr>
            <w:tcW w:type="dxa" w:w="6696"/>
            <w:vAlign w:val="center"/>
            <w:tcMar>
              <w:top w:w="48" w:type="dxa"/>
              <w:start w:w="100" w:type="dxa"/>
              <w:bottom w:w="48"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PRIMARY OUTPUT</w:t>
            </w:r>
          </w:p>
        </w:tc>
        <w:tc>
          <w:tcPr>
            <w:tcW w:type="dxa" w:w="3671"/>
            <w:vAlign w:val="center"/>
            <w:tcMar>
              <w:top w:w="48" w:type="dxa"/>
              <w:start w:w="100" w:type="dxa"/>
              <w:bottom w:w="48"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4"/>
              </w:rPr>
              <w:t>EXIT GATE</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0</w:t>
            </w:r>
          </w:p>
        </w:tc>
        <w:tc>
          <w:tcPr>
            <w:tcW w:type="dxa" w:w="2232"/>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Align + baseline</w:t>
            </w:r>
          </w:p>
        </w:tc>
        <w:tc>
          <w:tcPr>
            <w:tcW w:type="dxa" w:w="1007"/>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1 wk</w:t>
            </w:r>
          </w:p>
        </w:tc>
        <w:tc>
          <w:tcPr>
            <w:tcW w:type="dxa" w:w="6696"/>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Architecture decisions, data classification, source inventory, API contracts, test set and delivery backlog.</w:t>
            </w:r>
          </w:p>
        </w:tc>
        <w:tc>
          <w:tcPr>
            <w:tcW w:type="dxa" w:w="3671"/>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Scope, SLOs, owners and risks approved.</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1</w:t>
            </w:r>
          </w:p>
        </w:tc>
        <w:tc>
          <w:tcPr>
            <w:tcW w:type="dxa" w:w="2232"/>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Vertical slice</w:t>
            </w:r>
          </w:p>
        </w:tc>
        <w:tc>
          <w:tcPr>
            <w:tcW w:type="dxa" w:w="1007"/>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2 wk</w:t>
            </w:r>
          </w:p>
        </w:tc>
        <w:tc>
          <w:tcPr>
            <w:tcW w:type="dxa" w:w="6696"/>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Angular widget, BFF, session flow, orchestrator, Ollama streaming, health checks and basic FAQ route.</w:t>
            </w:r>
          </w:p>
        </w:tc>
        <w:tc>
          <w:tcPr>
            <w:tcW w:type="dxa" w:w="3671"/>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End-to-end answer and session flow in test.</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2</w:t>
            </w:r>
          </w:p>
        </w:tc>
        <w:tc>
          <w:tcPr>
            <w:tcW w:type="dxa" w:w="2232"/>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Knowledge grounding</w:t>
            </w:r>
          </w:p>
        </w:tc>
        <w:tc>
          <w:tcPr>
            <w:tcW w:type="dxa" w:w="1007"/>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2 wk</w:t>
            </w:r>
          </w:p>
        </w:tc>
        <w:tc>
          <w:tcPr>
            <w:tcW w:type="dxa" w:w="6696"/>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Ingestion, pgvector, metadata filters, citations, abstention, content publishing and evaluation harness.</w:t>
            </w:r>
          </w:p>
        </w:tc>
        <w:tc>
          <w:tcPr>
            <w:tcW w:type="dxa" w:w="3671"/>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Grounding targets pass on agreed test set.</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3</w:t>
            </w:r>
          </w:p>
        </w:tc>
        <w:tc>
          <w:tcPr>
            <w:tcW w:type="dxa" w:w="2232"/>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Commerce + handoff</w:t>
            </w:r>
          </w:p>
        </w:tc>
        <w:tc>
          <w:tcPr>
            <w:tcW w:type="dxa" w:w="1007"/>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2-3 wk</w:t>
            </w:r>
          </w:p>
        </w:tc>
        <w:tc>
          <w:tcPr>
            <w:tcW w:type="dxa" w:w="6696"/>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Catalog/order-status adapters, identity binding, typed tools, PII controls and support-ticket transfer.</w:t>
            </w:r>
          </w:p>
        </w:tc>
        <w:tc>
          <w:tcPr>
            <w:tcW w:type="dxa" w:w="3671"/>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Read-only authorized flows and negative tests pass.</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4</w:t>
            </w:r>
          </w:p>
        </w:tc>
        <w:tc>
          <w:tcPr>
            <w:tcW w:type="dxa" w:w="2232"/>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Hardening + pilot</w:t>
            </w:r>
          </w:p>
        </w:tc>
        <w:tc>
          <w:tcPr>
            <w:tcW w:type="dxa" w:w="1007"/>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2 wk</w:t>
            </w:r>
          </w:p>
        </w:tc>
        <w:tc>
          <w:tcPr>
            <w:tcW w:type="dxa" w:w="6696"/>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Security, load, resilience, observability, backup/restore, runbooks, user acceptance and rollout controls.</w:t>
            </w:r>
          </w:p>
        </w:tc>
        <w:tc>
          <w:tcPr>
            <w:tcW w:type="dxa" w:w="3671"/>
            <w:vAlign w:val="center"/>
            <w:tcMar>
              <w:top w:w="52" w:type="dxa"/>
              <w:start w:w="100" w:type="dxa"/>
              <w:bottom w:w="52" w:type="dxa"/>
              <w:end w:w="100" w:type="dxa"/>
            </w:tcMar>
            <w:shd w:fill="F3F6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Go-live checklist, dashboard and rollback drill approved.</w:t>
            </w:r>
          </w:p>
        </w:tc>
      </w:tr>
      <w:tr>
        <w:trPr>
          <w:cantSplit/>
        </w:trPr>
        <w:tc>
          <w:tcPr>
            <w:tcW w:type="dxa" w:w="792"/>
            <w:vAlign w:val="center"/>
            <w:tcMar>
              <w:top w:w="52" w:type="dxa"/>
              <w:start w:w="100" w:type="dxa"/>
              <w:bottom w:w="52" w:type="dxa"/>
              <w:end w:w="100" w:type="dxa"/>
            </w:tcMar>
            <w:shd w:fill="127C78"/>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FFFFFF"/>
                <w:sz w:val="16"/>
              </w:rPr>
              <w:t>5</w:t>
            </w:r>
          </w:p>
        </w:tc>
        <w:tc>
          <w:tcPr>
            <w:tcW w:type="dxa" w:w="2232"/>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1E6A8D"/>
                <w:sz w:val="14"/>
              </w:rPr>
              <w:t>Production evolution</w:t>
            </w:r>
          </w:p>
        </w:tc>
        <w:tc>
          <w:tcPr>
            <w:tcW w:type="dxa" w:w="1007"/>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center"/>
            </w:pPr>
            <w:r>
              <w:rPr>
                <w:rFonts w:ascii="Arial" w:hAnsi="Arial"/>
                <w:b/>
                <w:color w:val="14213D"/>
                <w:sz w:val="14"/>
              </w:rPr>
              <w:t>Ongoing</w:t>
            </w:r>
          </w:p>
        </w:tc>
        <w:tc>
          <w:tcPr>
            <w:tcW w:type="dxa" w:w="6696"/>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Feedback tuning, content expansion, GPU/horizontal scale, new channels and separately approved actions.</w:t>
            </w:r>
          </w:p>
        </w:tc>
        <w:tc>
          <w:tcPr>
            <w:tcW w:type="dxa" w:w="3671"/>
            <w:vAlign w:val="center"/>
            <w:tcMar>
              <w:top w:w="52" w:type="dxa"/>
              <w:start w:w="100" w:type="dxa"/>
              <w:bottom w:w="52"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t>Each change has its own safety and acceptance gate.</w:t>
            </w:r>
          </w:p>
        </w:tc>
      </w:tr>
    </w:tbl>
    <w:p>
      <w:pPr>
        <w:spacing w:before="0" w:after="80" w:line="24" w:lineRule="auto"/>
      </w:pPr>
      <w:r/>
    </w:p>
    <w:tbl>
      <w:tblPr>
        <w:tblW w:type="dxa" w:w="14400"/>
        <w:jc w:val="center"/>
        <w:tblLook w:firstColumn="1" w:firstRow="1" w:lastColumn="0" w:lastRow="0" w:noHBand="0" w:noVBand="1" w:val="04A0"/>
        <w:tblLayout w:type="fixed"/>
      </w:tblPr>
      <w:tblGrid>
        <w:gridCol w:w="11520"/>
        <w:gridCol w:w="2880"/>
      </w:tblGrid>
      <w:tr>
        <w:tc>
          <w:tcPr>
            <w:tcW w:type="dxa" w:w="11520"/>
            <w:shd w:fill="173B57"/>
            <w:tcMar>
              <w:top w:w="55" w:type="dxa"/>
              <w:start w:w="110" w:type="dxa"/>
              <w:bottom w:w="55" w:type="dxa"/>
              <w:end w:w="110" w:type="dxa"/>
            </w:tcMar>
            <w:tcBorders>
              <w:top w:val="nil"/>
              <w:start w:val="nil"/>
              <w:bottom w:val="nil"/>
              <w:end w:val="nil"/>
            </w:tcBorders>
          </w:tcPr>
          <w:p>
            <w:r>
              <w:rPr>
                <w:rFonts w:ascii="Arial" w:hAnsi="Arial"/>
                <w:b/>
                <w:color w:val="FFFFFF"/>
                <w:sz w:val="16"/>
              </w:rPr>
              <w:t>7. VERIFICATION AND RELEASE ACCEPTANCE</w:t>
            </w:r>
          </w:p>
        </w:tc>
        <w:tc>
          <w:tcPr>
            <w:tcW w:type="dxa" w:w="2880"/>
            <w:shd w:fill="173B57"/>
            <w:tcMar>
              <w:top w:w="55" w:type="dxa"/>
              <w:start w:w="110" w:type="dxa"/>
              <w:bottom w:w="55" w:type="dxa"/>
              <w:end w:w="110" w:type="dxa"/>
            </w:tcMar>
            <w:tcBorders>
              <w:top w:val="nil"/>
              <w:start w:val="nil"/>
              <w:bottom w:val="nil"/>
              <w:end w:val="nil"/>
            </w:tcBorders>
          </w:tcPr>
          <w:p>
            <w:pPr>
              <w:jc w:val="right"/>
            </w:pPr>
            <w:r>
              <w:rPr>
                <w:rFonts w:ascii="Arial" w:hAnsi="Arial"/>
                <w:b/>
                <w:color w:val="CFEAF2"/>
                <w:sz w:val="15"/>
              </w:rPr>
              <w:t>Evidence required</w:t>
            </w:r>
          </w:p>
        </w:tc>
      </w:tr>
    </w:tbl>
    <w:tbl>
      <w:tblPr>
        <w:tblW w:type="dxa" w:w="14400"/>
        <w:tblLook w:firstColumn="1" w:firstRow="1" w:lastColumn="0" w:lastRow="0" w:noHBand="0" w:noVBand="1" w:val="04A0"/>
        <w:tblLayout w:type="fixed"/>
      </w:tblPr>
      <w:tblGrid>
        <w:gridCol w:w="4795"/>
        <w:gridCol w:w="4809"/>
        <w:gridCol w:w="4795"/>
      </w:tblGrid>
      <w:tr>
        <w:tc>
          <w:tcPr>
            <w:tcW w:type="dxa" w:w="4795"/>
            <w:vAlign w:val="center"/>
            <w:tcMar>
              <w:top w:w="62" w:type="dxa"/>
              <w:start w:w="100" w:type="dxa"/>
              <w:bottom w:w="62"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FUNCTIONAL</w:t>
              <w:br/>
            </w:r>
            <w:r>
              <w:rPr>
                <w:rFonts w:ascii="Arial" w:hAnsi="Arial"/>
                <w:b w:val="0"/>
                <w:i w:val="0"/>
                <w:color w:val="14213D"/>
                <w:sz w:val="14"/>
              </w:rPr>
              <w:t>FR-01 through FR-08 traced to automated UI/API tests and signed product acceptance.</w:t>
            </w:r>
          </w:p>
        </w:tc>
        <w:tc>
          <w:tcPr>
            <w:tcW w:type="dxa" w:w="4809"/>
            <w:vAlign w:val="center"/>
            <w:tcMar>
              <w:top w:w="62" w:type="dxa"/>
              <w:start w:w="100" w:type="dxa"/>
              <w:bottom w:w="62"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GROUNDING</w:t>
              <w:br/>
            </w:r>
            <w:r>
              <w:rPr>
                <w:rFonts w:ascii="Arial" w:hAnsi="Arial"/>
                <w:b w:val="0"/>
                <w:i w:val="0"/>
                <w:color w:val="14213D"/>
                <w:sz w:val="14"/>
              </w:rPr>
              <w:t>Agreed curated questions meet citation and correctness targets; unsupported questions abstain safely.</w:t>
            </w:r>
          </w:p>
        </w:tc>
        <w:tc>
          <w:tcPr>
            <w:tcW w:type="dxa" w:w="4795"/>
            <w:vAlign w:val="center"/>
            <w:tcMar>
              <w:top w:w="62" w:type="dxa"/>
              <w:start w:w="100" w:type="dxa"/>
              <w:bottom w:w="62"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SECURITY</w:t>
              <w:br/>
            </w:r>
            <w:r>
              <w:rPr>
                <w:rFonts w:ascii="Arial" w:hAnsi="Arial"/>
                <w:b w:val="0"/>
                <w:i w:val="0"/>
                <w:color w:val="14213D"/>
                <w:sz w:val="14"/>
              </w:rPr>
              <w:t>Prompt-injection, broken authorization, data leakage, abuse and dependency scans pass with no critical issue.</w:t>
            </w:r>
          </w:p>
        </w:tc>
      </w:tr>
      <w:tr>
        <w:tc>
          <w:tcPr>
            <w:tcW w:type="dxa" w:w="4795"/>
            <w:vAlign w:val="center"/>
            <w:tcMar>
              <w:top w:w="62" w:type="dxa"/>
              <w:start w:w="100" w:type="dxa"/>
              <w:bottom w:w="62"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PERFORMANCE</w:t>
              <w:br/>
            </w:r>
            <w:r>
              <w:rPr>
                <w:rFonts w:ascii="Arial" w:hAnsi="Arial"/>
                <w:b w:val="0"/>
                <w:i w:val="0"/>
                <w:color w:val="14213D"/>
                <w:sz w:val="14"/>
              </w:rPr>
              <w:t>Latency, capacity, error rate and resource use pass under agreed pilot load on target hardware.</w:t>
            </w:r>
          </w:p>
        </w:tc>
        <w:tc>
          <w:tcPr>
            <w:tcW w:type="dxa" w:w="4809"/>
            <w:vAlign w:val="center"/>
            <w:tcMar>
              <w:top w:w="62" w:type="dxa"/>
              <w:start w:w="100" w:type="dxa"/>
              <w:bottom w:w="62" w:type="dxa"/>
              <w:end w:w="100" w:type="dxa"/>
            </w:tcMar>
            <w:shd w:fill="E9F8FA"/>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RESILIENCE</w:t>
              <w:br/>
            </w:r>
            <w:r>
              <w:rPr>
                <w:rFonts w:ascii="Arial" w:hAnsi="Arial"/>
                <w:b w:val="0"/>
                <w:i w:val="0"/>
                <w:color w:val="14213D"/>
                <w:sz w:val="14"/>
              </w:rPr>
              <w:t>API/model timeout, circuit-breaker, handoff, backup/restore and model/prompt rollback are demonstrated.</w:t>
            </w:r>
          </w:p>
        </w:tc>
        <w:tc>
          <w:tcPr>
            <w:tcW w:type="dxa" w:w="4795"/>
            <w:vAlign w:val="center"/>
            <w:tcMar>
              <w:top w:w="62" w:type="dxa"/>
              <w:start w:w="100" w:type="dxa"/>
              <w:bottom w:w="62" w:type="dxa"/>
              <w:end w:w="100" w:type="dxa"/>
            </w:tcMar>
            <w:shd w:fill="EAF4F8"/>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6"/>
              </w:rPr>
            </w:r>
            <w:r>
              <w:rPr>
                <w:rFonts w:ascii="Arial" w:hAnsi="Arial"/>
                <w:b/>
                <w:i w:val="0"/>
                <w:color w:val="127C78"/>
                <w:sz w:val="15"/>
              </w:rPr>
              <w:t>OPERATIONS</w:t>
              <w:br/>
            </w:r>
            <w:r>
              <w:rPr>
                <w:rFonts w:ascii="Arial" w:hAnsi="Arial"/>
                <w:b w:val="0"/>
                <w:i w:val="0"/>
                <w:color w:val="14213D"/>
                <w:sz w:val="14"/>
              </w:rPr>
              <w:t>Dashboards, alerts, audit trail, content ownership, incident runbook and support handover are approved.</w:t>
            </w:r>
          </w:p>
        </w:tc>
      </w:tr>
    </w:tbl>
    <w:p>
      <w:pPr>
        <w:spacing w:before="0" w:after="80" w:line="24" w:lineRule="auto"/>
      </w:pPr>
      <w:r/>
    </w:p>
    <w:tbl>
      <w:tblPr>
        <w:tblW w:type="dxa" w:w="14400"/>
        <w:tblLook w:firstColumn="1" w:firstRow="1" w:lastColumn="0" w:lastRow="0" w:noHBand="0" w:noVBand="1" w:val="04A0"/>
        <w:tblLayout w:type="fixed"/>
      </w:tblPr>
      <w:tblGrid>
        <w:gridCol w:w="7200"/>
        <w:gridCol w:w="7200"/>
      </w:tblGrid>
      <w:tr>
        <w:tc>
          <w:tcPr>
            <w:tcW w:type="dxa" w:w="7200"/>
            <w:tcBorders>
              <w:top w:val="nil"/>
              <w:start w:val="nil"/>
              <w:bottom w:val="nil"/>
              <w:end w:val="nil"/>
              <w:insideH w:val="nil"/>
              <w:insideV w:val="nil"/>
            </w:tcBorders>
            <w:tcMar>
              <w:top w:w="0" w:type="dxa"/>
              <w:start w:w="0" w:type="dxa"/>
              <w:bottom w:w="0" w:type="dxa"/>
              <w:end w:w="0" w:type="dxa"/>
            </w:tcMar>
          </w:tcPr>
          <w:p/>
          <w:tbl>
            <w:tblPr>
              <w:tblW w:type="dxa" w:w="6998"/>
              <w:tblLook w:firstColumn="1" w:firstRow="1" w:lastColumn="0" w:lastRow="0" w:noHBand="0" w:noVBand="1" w:val="04A0"/>
              <w:tblLayout w:type="fixed"/>
            </w:tblPr>
            <w:tblGrid>
              <w:gridCol w:w="6998"/>
            </w:tblGrid>
            <w:tr>
              <w:tc>
                <w:tcPr>
                  <w:tcW w:type="dxa" w:w="6998"/>
                  <w:vAlign w:val="center"/>
                  <w:tcMar>
                    <w:top w:w="52" w:type="dxa"/>
                    <w:start w:w="100" w:type="dxa"/>
                    <w:bottom w:w="52"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FFFFFF"/>
                      <w:sz w:val="16"/>
                    </w:rPr>
                    <w:t>8. KEY ASSUMPTIONS</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1E6A8D"/>
                      <w:sz w:val="14"/>
                    </w:rPr>
                    <w:t xml:space="preserve">A1  </w:t>
                  </w:r>
                  <w:r>
                    <w:rPr>
                      <w:rFonts w:ascii="Arial" w:hAnsi="Arial"/>
                      <w:b w:val="0"/>
                      <w:i w:val="0"/>
                      <w:color w:val="14213D"/>
                      <w:sz w:val="14"/>
                    </w:rPr>
                    <w:t>A Dell PowerEdge R630-class host with about 64 GB RAM is the CPU-first pilot baseline; capacity must be benchmarked before the SLO is committed.</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1E6A8D"/>
                      <w:sz w:val="14"/>
                    </w:rPr>
                    <w:t xml:space="preserve">A2  </w:t>
                  </w:r>
                  <w:r>
                    <w:rPr>
                      <w:rFonts w:ascii="Arial" w:hAnsi="Arial"/>
                      <w:b w:val="0"/>
                      <w:i w:val="0"/>
                      <w:color w:val="14213D"/>
                      <w:sz w:val="14"/>
                    </w:rPr>
                    <w:t>Approved policy/product content has named owners; catalog, order-status and ticket APIs are documented and reachable.</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1E6A8D"/>
                      <w:sz w:val="14"/>
                    </w:rPr>
                    <w:t xml:space="preserve">A3  </w:t>
                  </w:r>
                  <w:r>
                    <w:rPr>
                      <w:rFonts w:ascii="Arial" w:hAnsi="Arial"/>
                      <w:b w:val="0"/>
                      <w:i w:val="0"/>
                      <w:color w:val="14213D"/>
                      <w:sz w:val="14"/>
                    </w:rPr>
                    <w:t>MVP order access is authenticated and read-only; guest users cannot retrieve customer-specific information.</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1E6A8D"/>
                      <w:sz w:val="14"/>
                    </w:rPr>
                    <w:t xml:space="preserve">A4  </w:t>
                  </w:r>
                  <w:r>
                    <w:rPr>
                      <w:rFonts w:ascii="Arial" w:hAnsi="Arial"/>
                      <w:b w:val="0"/>
                      <w:i w:val="0"/>
                      <w:color w:val="14213D"/>
                      <w:sz w:val="14"/>
                    </w:rPr>
                    <w:t>English and responsive web are first; WCAG 2.1 AA is the accessibility target; transcript retention defaults to 30 days, subject to policy.</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1E6A8D"/>
                      <w:sz w:val="14"/>
                    </w:rPr>
                    <w:t xml:space="preserve">A5  </w:t>
                  </w:r>
                  <w:r>
                    <w:rPr>
                      <w:rFonts w:ascii="Arial" w:hAnsi="Arial"/>
                      <w:b w:val="0"/>
                      <w:i w:val="0"/>
                      <w:color w:val="14213D"/>
                      <w:sz w:val="14"/>
                    </w:rPr>
                    <w:t>Model, prompt and index versions are pinned; no fine-tuning or autonomous commerce action is included in the first release.</w:t>
                  </w:r>
                </w:p>
              </w:tc>
            </w:tr>
          </w:tbl>
          <w:p/>
        </w:tc>
        <w:tc>
          <w:tcPr>
            <w:tcW w:type="dxa" w:w="7200"/>
            <w:tcBorders>
              <w:top w:val="nil"/>
              <w:start w:val="nil"/>
              <w:bottom w:val="nil"/>
              <w:end w:val="nil"/>
              <w:insideH w:val="nil"/>
              <w:insideV w:val="nil"/>
            </w:tcBorders>
            <w:tcMar>
              <w:top w:w="0" w:type="dxa"/>
              <w:start w:w="0" w:type="dxa"/>
              <w:bottom w:w="0" w:type="dxa"/>
              <w:end w:w="0" w:type="dxa"/>
            </w:tcMar>
          </w:tcPr>
          <w:p/>
          <w:tbl>
            <w:tblPr>
              <w:tblW w:type="dxa" w:w="6998"/>
              <w:tblLook w:firstColumn="1" w:firstRow="1" w:lastColumn="0" w:lastRow="0" w:noHBand="0" w:noVBand="1" w:val="04A0"/>
              <w:tblLayout w:type="fixed"/>
            </w:tblPr>
            <w:tblGrid>
              <w:gridCol w:w="6998"/>
            </w:tblGrid>
            <w:tr>
              <w:tc>
                <w:tcPr>
                  <w:tcW w:type="dxa" w:w="6998"/>
                  <w:vAlign w:val="center"/>
                  <w:tcMar>
                    <w:top w:w="52" w:type="dxa"/>
                    <w:start w:w="100" w:type="dxa"/>
                    <w:bottom w:w="52" w:type="dxa"/>
                    <w:end w:w="100" w:type="dxa"/>
                  </w:tcMar>
                  <w:shd w:fill="173B57"/>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color w:val="FFFFFF"/>
                      <w:sz w:val="16"/>
                    </w:rPr>
                    <w:t>9. PRIMARY RISKS AND CONTROLS</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C58A18"/>
                      <w:sz w:val="14"/>
                    </w:rPr>
                    <w:t xml:space="preserve">Latency / capacity  </w:t>
                  </w:r>
                  <w:r>
                    <w:rPr>
                      <w:rFonts w:ascii="Arial" w:hAnsi="Arial"/>
                      <w:b w:val="0"/>
                      <w:i w:val="0"/>
                      <w:color w:val="14213D"/>
                      <w:sz w:val="14"/>
                    </w:rPr>
                    <w:t>Use a right-sized quantized model, streaming, caching, bounded queues and load-based scale decisions.</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C58A18"/>
                      <w:sz w:val="14"/>
                    </w:rPr>
                    <w:t xml:space="preserve">Hallucination / stale content  </w:t>
                  </w:r>
                  <w:r>
                    <w:rPr>
                      <w:rFonts w:ascii="Arial" w:hAnsi="Arial"/>
                      <w:b w:val="0"/>
                      <w:i w:val="0"/>
                      <w:color w:val="14213D"/>
                      <w:sz w:val="14"/>
                    </w:rPr>
                    <w:t>Require evidence, cite sources, abstain below threshold, assign owners and evaluate each published version.</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C58A18"/>
                      <w:sz w:val="14"/>
                    </w:rPr>
                    <w:t xml:space="preserve">Prompt injection / tool abuse  </w:t>
                  </w:r>
                  <w:r>
                    <w:rPr>
                      <w:rFonts w:ascii="Arial" w:hAnsi="Arial"/>
                      <w:b w:val="0"/>
                      <w:i w:val="0"/>
                      <w:color w:val="14213D"/>
                      <w:sz w:val="14"/>
                    </w:rPr>
                    <w:t>Treat retrieved text as untrusted; enforce typed allowlisted tools, per-call authorization and output scanning.</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C58A18"/>
                      <w:sz w:val="14"/>
                    </w:rPr>
                    <w:t xml:space="preserve">Integration outage  </w:t>
                  </w:r>
                  <w:r>
                    <w:rPr>
                      <w:rFonts w:ascii="Arial" w:hAnsi="Arial"/>
                      <w:b w:val="0"/>
                      <w:i w:val="0"/>
                      <w:color w:val="14213D"/>
                      <w:sz w:val="14"/>
                    </w:rPr>
                    <w:t>Apply timeout, retry, circuit breaker and graceful degradation to FAQ or agent handoff.</w:t>
                  </w:r>
                </w:p>
              </w:tc>
            </w:tr>
            <w:tr>
              <w:tc>
                <w:tcPr>
                  <w:tcW w:type="dxa" w:w="6998"/>
                  <w:vAlign w:val="center"/>
                  <w:tcMar>
                    <w:top w:w="43" w:type="dxa"/>
                    <w:start w:w="100" w:type="dxa"/>
                    <w:bottom w:w="43" w:type="dxa"/>
                    <w:end w:w="100" w:type="dxa"/>
                  </w:tcMar>
                  <w:shd w:fill="FFFFFF"/>
                  <w:tcBorders>
                    <w:top w:val="single" w:sz="4" w:color="D7E0E5"/>
                    <w:start w:val="single" w:sz="4" w:color="D7E0E5"/>
                    <w:bottom w:val="single" w:sz="4" w:color="D7E0E5"/>
                    <w:end w:val="single" w:sz="4" w:color="D7E0E5"/>
                  </w:tcBorders>
                </w:tcPr>
                <w:p>
                  <w:pPr>
                    <w:spacing w:before="0" w:after="0" w:line="247" w:lineRule="auto"/>
                    <w:jc w:val="left"/>
                  </w:pPr>
                  <w:r>
                    <w:rPr>
                      <w:rFonts w:ascii="Arial" w:hAnsi="Arial"/>
                      <w:b w:val="0"/>
                      <w:color w:val="14213D"/>
                      <w:sz w:val="14"/>
                    </w:rPr>
                  </w:r>
                  <w:r>
                    <w:rPr>
                      <w:rFonts w:ascii="Arial" w:hAnsi="Arial"/>
                      <w:b/>
                      <w:i w:val="0"/>
                      <w:color w:val="C58A18"/>
                      <w:sz w:val="14"/>
                    </w:rPr>
                    <w:t xml:space="preserve">Unclear operating ownership  </w:t>
                  </w:r>
                  <w:r>
                    <w:rPr>
                      <w:rFonts w:ascii="Arial" w:hAnsi="Arial"/>
                      <w:b w:val="0"/>
                      <w:i w:val="0"/>
                      <w:color w:val="14213D"/>
                      <w:sz w:val="14"/>
                    </w:rPr>
                    <w:t>Name product, content, model, security and on-call owners before the pilot gate.</w:t>
                  </w:r>
                </w:p>
              </w:tc>
            </w:tr>
          </w:tbl>
          <w:p/>
        </w:tc>
      </w:tr>
    </w:tbl>
    <w:p>
      <w:pPr>
        <w:spacing w:before="80" w:after="0"/>
        <w:jc w:val="center"/>
      </w:pPr>
      <w:r>
        <w:rPr>
          <w:rFonts w:ascii="Arial" w:hAnsi="Arial"/>
          <w:b/>
          <w:i w:val="0"/>
          <w:color w:val="127C78"/>
          <w:sz w:val="15"/>
        </w:rPr>
        <w:t xml:space="preserve">NEXT DECISION  </w:t>
      </w:r>
      <w:r>
        <w:rPr>
          <w:rFonts w:ascii="Arial" w:hAnsi="Arial"/>
          <w:b/>
          <w:i w:val="0"/>
          <w:color w:val="14213D"/>
          <w:sz w:val="15"/>
        </w:rPr>
        <w:t>Approve the MVP boundary and authorize Phase 0 to validate model licensing, source ownership, API readiness and measured Ollama capacity.</w:t>
      </w:r>
    </w:p>
    <w:sectPr w:rsidR="00FC693F" w:rsidRPr="0006063C" w:rsidSect="00034616">
      <w:headerReference w:type="default" r:id="rId9"/>
      <w:footerReference w:type="default" r:id="rId10"/>
      <w:pgSz w:w="15840" w:h="12240" w:orient="landscape"/>
      <w:pgMar w:top="763" w:right="720" w:bottom="691" w:left="720" w:header="288"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4400"/>
      <w:tblLook w:firstColumn="1" w:firstRow="1" w:lastColumn="0" w:lastRow="0" w:noHBand="0" w:noVBand="1" w:val="04A0"/>
      <w:tblLayout w:type="fixed"/>
    </w:tblPr>
    <w:tblGrid>
      <w:gridCol w:w="12384"/>
      <w:gridCol w:w="2015"/>
    </w:tblGrid>
    <w:tr>
      <w:tc>
        <w:tcPr>
          <w:tcW w:type="dxa" w:w="12384"/>
          <w:tcBorders>
            <w:top w:val="nil"/>
            <w:start w:val="nil"/>
            <w:bottom w:val="nil"/>
            <w:end w:val="nil"/>
            <w:insideH w:val="nil"/>
            <w:insideV w:val="nil"/>
          </w:tcBorders>
        </w:tcPr>
        <w:p>
          <w:r>
            <w:rPr>
              <w:rFonts w:ascii="Arial" w:hAnsi="Arial"/>
              <w:color w:val="6B7F8C"/>
              <w:sz w:val="14"/>
            </w:rPr>
            <w:t>Version 1.0  |  Baseline for planning and estimation  |  16 July 2026</w:t>
          </w:r>
        </w:p>
      </w:tc>
      <w:tc>
        <w:tcPr>
          <w:tcW w:type="dxa" w:w="2015"/>
          <w:tcBorders>
            <w:top w:val="nil"/>
            <w:start w:val="nil"/>
            <w:bottom w:val="nil"/>
            <w:end w:val="nil"/>
            <w:insideH w:val="nil"/>
            <w:insideV w:val="nil"/>
          </w:tcBorders>
        </w:tcPr>
        <w:p>
          <w:pPr>
            <w:jc w:val="right"/>
          </w:pPr>
          <w:r>
            <w:rPr>
              <w:rFonts w:ascii="Arial" w:hAnsi="Arial"/>
              <w:b/>
              <w:color w:val="173B57"/>
              <w:sz w:val="14"/>
            </w:rPr>
            <w:t xml:space="preserve">PAGE </w:t>
          </w:r>
          <w:fldSimple w:instr="PAGE"/>
          <w:r>
            <w:rPr>
              <w:rFonts w:ascii="Arial" w:hAnsi="Arial"/>
              <w:b/>
              <w:color w:val="173B57"/>
              <w:sz w:val="14"/>
            </w:rPr>
            <w:t xml:space="preserve"> / 3</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8" w:space="3" w:color="20A4B5"/>
      </w:pBdr>
    </w:pPr>
    <w:r>
      <w:rPr>
        <w:rFonts w:ascii="Arial" w:hAnsi="Arial"/>
        <w:b/>
        <w:color w:val="6B7F8C"/>
        <w:sz w:val="14"/>
      </w:rPr>
      <w:t>OLLAMA CUSTOMER SERVICE  /  REQUIREMENTS +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42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Ollama-Based Customer-Service Chatbot - Requirements and Solution Design</dc:title>
  <dc:subject>Professional requirements and design baseline for an Ollama-based e-commerce customer-service chatbot</dc:subject>
  <dc:creator/>
  <cp:keywords/>
  <dc:description>Version 1.0 - planning baseline</dc:description>
  <cp:lastModifiedBy/>
  <cp:revision>1</cp:revision>
  <dcterms:created xsi:type="dcterms:W3CDTF">2013-12-23T23:15:00Z</dcterms:created>
  <dcterms:modified xsi:type="dcterms:W3CDTF">2013-12-23T23:15:00Z</dcterms:modified>
  <cp:category/>
</cp:coreProperties>
</file>