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E8568" w14:textId="77777777" w:rsidR="00581DD1" w:rsidRDefault="00581DD1" w:rsidP="00581DD1">
      <w:pPr>
        <w:jc w:val="both"/>
        <w:rPr>
          <w:rFonts w:ascii="News Gothic" w:hAnsi="News Gothic" w:cs="Calibri"/>
          <w:b/>
          <w:bCs/>
          <w:szCs w:val="22"/>
          <w:lang w:val="en-US"/>
        </w:rPr>
      </w:pPr>
      <w:r w:rsidRPr="00D707E4">
        <w:rPr>
          <w:rFonts w:ascii="News Gothic" w:hAnsi="News Gothic" w:cs="Calibri"/>
          <w:b/>
          <w:bCs/>
          <w:szCs w:val="22"/>
          <w:lang w:val="en-US"/>
        </w:rPr>
        <w:t>Development of improved input price risk management tools for farmers and simulation of their risk reduction potential</w:t>
      </w:r>
      <w:r>
        <w:rPr>
          <w:rFonts w:ascii="News Gothic" w:hAnsi="News Gothic" w:cs="Calibri"/>
          <w:b/>
          <w:bCs/>
          <w:szCs w:val="22"/>
          <w:lang w:val="en-US"/>
        </w:rPr>
        <w:t>.</w:t>
      </w:r>
    </w:p>
    <w:p w14:paraId="7AA0C184" w14:textId="77777777" w:rsidR="00581DD1" w:rsidRDefault="00581DD1" w:rsidP="00581DD1">
      <w:pPr>
        <w:jc w:val="both"/>
        <w:rPr>
          <w:rFonts w:ascii="News Gothic" w:hAnsi="News Gothic" w:cs="Calibri"/>
          <w:b/>
          <w:bCs/>
          <w:szCs w:val="22"/>
          <w:lang w:val="en-US"/>
        </w:rPr>
      </w:pPr>
    </w:p>
    <w:p w14:paraId="233AD5D4" w14:textId="3ECFF675" w:rsidR="00D750CB" w:rsidRDefault="00581DD1" w:rsidP="00581DD1">
      <w:p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 xml:space="preserve">While most of the literature on price risk management focus on output prices, in the past decade fossil energy and energy-intensive inputs at the farm-level have experienced considerable fluctuations, putting farmers overall income and thereby food security at risk. One way to manage this risk is trough financial tools </w:t>
      </w:r>
      <w:r>
        <w:rPr>
          <w:rFonts w:ascii="News Gothic" w:hAnsi="News Gothic" w:cs="Calibri"/>
          <w:lang w:val="en-US"/>
        </w:rPr>
        <w:t>(i.e. forward contracts, futures and options, and price insurances),</w:t>
      </w:r>
      <w:r>
        <w:rPr>
          <w:rFonts w:ascii="Calibri" w:eastAsiaTheme="minorHAnsi" w:hAnsi="Calibri" w:cs="Calibri"/>
          <w:szCs w:val="22"/>
          <w:lang w:val="en-US"/>
        </w:rPr>
        <w:t xml:space="preserve"> but d</w:t>
      </w:r>
      <w:r w:rsidRPr="003912D8">
        <w:rPr>
          <w:rFonts w:ascii="News Gothic" w:hAnsi="News Gothic" w:cs="Calibri"/>
          <w:lang w:val="en-US"/>
        </w:rPr>
        <w:t xml:space="preserve">espite </w:t>
      </w:r>
      <w:r>
        <w:rPr>
          <w:rFonts w:ascii="News Gothic" w:hAnsi="News Gothic" w:cs="Calibri"/>
          <w:lang w:val="en-US"/>
        </w:rPr>
        <w:t>their</w:t>
      </w:r>
      <w:r w:rsidRPr="003912D8">
        <w:rPr>
          <w:rFonts w:ascii="News Gothic" w:hAnsi="News Gothic" w:cs="Calibri"/>
          <w:lang w:val="en-US"/>
        </w:rPr>
        <w:t xml:space="preserve"> benefits in offsetting price risk, the</w:t>
      </w:r>
      <w:r>
        <w:rPr>
          <w:rFonts w:ascii="News Gothic" w:hAnsi="News Gothic" w:cs="Calibri"/>
          <w:lang w:val="en-US"/>
        </w:rPr>
        <w:t>ir</w:t>
      </w:r>
      <w:r w:rsidRPr="003912D8">
        <w:rPr>
          <w:rFonts w:ascii="News Gothic" w:hAnsi="News Gothic" w:cs="Calibri"/>
          <w:lang w:val="en-US"/>
        </w:rPr>
        <w:t xml:space="preserve"> adoption </w:t>
      </w:r>
      <w:r>
        <w:rPr>
          <w:rFonts w:ascii="News Gothic" w:hAnsi="News Gothic" w:cs="Calibri"/>
          <w:lang w:val="en-US"/>
        </w:rPr>
        <w:t>among farmers</w:t>
      </w:r>
      <w:r w:rsidRPr="003912D8">
        <w:rPr>
          <w:rFonts w:ascii="News Gothic" w:hAnsi="News Gothic" w:cs="Calibri"/>
          <w:lang w:val="en-US"/>
        </w:rPr>
        <w:t xml:space="preserve"> remains low.</w:t>
      </w:r>
      <w:r>
        <w:rPr>
          <w:rFonts w:ascii="Calibri" w:eastAsiaTheme="minorHAnsi" w:hAnsi="Calibri" w:cs="Calibri"/>
          <w:szCs w:val="22"/>
          <w:lang w:val="en-US"/>
        </w:rPr>
        <w:t xml:space="preserve"> </w:t>
      </w:r>
      <w:r w:rsidR="00D750CB" w:rsidRPr="00D750CB">
        <w:rPr>
          <w:rFonts w:ascii="Calibri" w:eastAsiaTheme="minorHAnsi" w:hAnsi="Calibri" w:cs="Calibri"/>
          <w:szCs w:val="22"/>
          <w:lang w:val="en-US"/>
        </w:rPr>
        <w:t xml:space="preserve">The use of </w:t>
      </w:r>
      <w:r w:rsidR="00D750CB">
        <w:rPr>
          <w:rFonts w:ascii="Calibri" w:eastAsiaTheme="minorHAnsi" w:hAnsi="Calibri" w:cs="Calibri"/>
          <w:szCs w:val="22"/>
          <w:lang w:val="en-US"/>
        </w:rPr>
        <w:t>financial tools</w:t>
      </w:r>
      <w:r w:rsidR="00D750CB" w:rsidRPr="00D750CB">
        <w:rPr>
          <w:rFonts w:ascii="Calibri" w:eastAsiaTheme="minorHAnsi" w:hAnsi="Calibri" w:cs="Calibri"/>
          <w:szCs w:val="22"/>
          <w:lang w:val="en-US"/>
        </w:rPr>
        <w:t xml:space="preserve"> can be expanded if </w:t>
      </w:r>
      <w:r w:rsidR="00D750CB">
        <w:rPr>
          <w:rFonts w:ascii="Calibri" w:eastAsiaTheme="minorHAnsi" w:hAnsi="Calibri" w:cs="Calibri"/>
          <w:szCs w:val="22"/>
          <w:lang w:val="en-US"/>
        </w:rPr>
        <w:t>these</w:t>
      </w:r>
      <w:r w:rsidR="00D750CB" w:rsidRPr="00D750CB">
        <w:rPr>
          <w:rFonts w:ascii="Calibri" w:eastAsiaTheme="minorHAnsi" w:hAnsi="Calibri" w:cs="Calibri"/>
          <w:szCs w:val="22"/>
          <w:lang w:val="en-US"/>
        </w:rPr>
        <w:t xml:space="preserve"> products can be tailored to the </w:t>
      </w:r>
      <w:r w:rsidR="00D750CB">
        <w:rPr>
          <w:rFonts w:ascii="Calibri" w:eastAsiaTheme="minorHAnsi" w:hAnsi="Calibri" w:cs="Calibri"/>
          <w:szCs w:val="22"/>
          <w:lang w:val="en-US"/>
        </w:rPr>
        <w:t>behavioral preferences of farmers</w:t>
      </w:r>
      <w:r w:rsidR="00441E5E">
        <w:rPr>
          <w:rFonts w:ascii="Calibri" w:eastAsiaTheme="minorHAnsi" w:hAnsi="Calibri" w:cs="Calibri"/>
          <w:szCs w:val="22"/>
          <w:lang w:val="en-US"/>
        </w:rPr>
        <w:t xml:space="preserve"> (cite)</w:t>
      </w:r>
      <w:r w:rsidR="00D750CB" w:rsidRPr="00D750CB">
        <w:rPr>
          <w:rFonts w:ascii="Calibri" w:eastAsiaTheme="minorHAnsi" w:hAnsi="Calibri" w:cs="Calibri"/>
          <w:szCs w:val="22"/>
          <w:lang w:val="en-US"/>
        </w:rPr>
        <w:t>.</w:t>
      </w:r>
    </w:p>
    <w:p w14:paraId="25C2B261" w14:textId="77777777" w:rsidR="00491901" w:rsidRDefault="00491901" w:rsidP="00581DD1">
      <w:pPr>
        <w:autoSpaceDE w:val="0"/>
        <w:autoSpaceDN w:val="0"/>
        <w:adjustRightInd w:val="0"/>
        <w:rPr>
          <w:rFonts w:ascii="Calibri" w:eastAsiaTheme="minorHAnsi" w:hAnsi="Calibri" w:cs="Calibri"/>
          <w:szCs w:val="22"/>
          <w:lang w:val="en-US"/>
        </w:rPr>
      </w:pPr>
    </w:p>
    <w:p w14:paraId="6FD149F5" w14:textId="69B6AFD2" w:rsidR="003B50D0" w:rsidRDefault="003B50D0" w:rsidP="00581DD1">
      <w:pPr>
        <w:autoSpaceDE w:val="0"/>
        <w:autoSpaceDN w:val="0"/>
        <w:adjustRightInd w:val="0"/>
        <w:rPr>
          <w:rFonts w:ascii="Calibri" w:eastAsiaTheme="minorHAnsi" w:hAnsi="Calibri" w:cs="Calibri"/>
          <w:szCs w:val="22"/>
          <w:lang w:val="en-US"/>
        </w:rPr>
      </w:pPr>
      <w:commentRangeStart w:id="0"/>
      <w:r>
        <w:rPr>
          <w:rFonts w:ascii="Times New Roman" w:eastAsiaTheme="minorHAnsi" w:hAnsi="Times New Roman"/>
          <w:szCs w:val="22"/>
          <w:lang w:val="en-US"/>
        </w:rPr>
        <w:t xml:space="preserve">Fertilizer support to agricultural producers in the EU during the 2020-2022 period almost doubled compared to the 2015-2019 average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{"citationID":"YRlrVO9U","properties":{"formattedCitation":"(Jones &amp; Deuss, 2024)","plainCitation":"(Jones &amp; Deuss, 2024)","noteIndex":0},"citationItems":[{"id":126987,"uris":["http://zotero.org/users/14812719/items/8X9EW39J"],"itemData":{"id":126987,"type":"article-journal","container-title":"OECD Food, Agriculture and Fisheries Papers","DOI":"10.1787/43664170-en","title":"Understanding the resilience of fertiliser markets to shocks","URL":"https://www.oecd.org/en/publications/understanding-the-resilience-of-fertiliser-markets-to-shocks_43664170-en.html","volume":"208","author":[{"family":"Jones","given":"D"},{"family":"Deuss","given":"A"}],"accessed":{"date-parts":[["2025",6,13]]},"issued":{"date-parts":[["2024"]]}}}],"schema":"https://github.com/citation-style-language/schema/raw/master/csl-citation.json"} </w:instrText>
      </w:r>
      <w:r>
        <w:rPr>
          <w:rFonts w:ascii="Times New Roman" w:eastAsiaTheme="minorHAnsi" w:hAnsi="Times New Roman"/>
          <w:szCs w:val="22"/>
          <w:lang w:val="en-US"/>
        </w:rPr>
        <w:fldChar w:fldCharType="separate"/>
      </w:r>
      <w:r w:rsidRPr="00E12050">
        <w:rPr>
          <w:rFonts w:ascii="Times New Roman" w:eastAsiaTheme="minorHAnsi" w:hAnsi="Times New Roman"/>
          <w:lang w:val="en-GB"/>
        </w:rPr>
        <w:t>(Jones &amp; Deuss, 2024)</w:t>
      </w:r>
      <w:r>
        <w:rPr>
          <w:rFonts w:ascii="Times New Roman" w:eastAsiaTheme="minorHAnsi" w:hAnsi="Times New Roman"/>
          <w:szCs w:val="22"/>
          <w:lang w:val="en-US"/>
        </w:rPr>
        <w:fldChar w:fldCharType="end"/>
      </w:r>
      <w:r>
        <w:rPr>
          <w:rFonts w:ascii="Times New Roman" w:eastAsiaTheme="minorHAnsi" w:hAnsi="Times New Roman"/>
          <w:szCs w:val="22"/>
          <w:lang w:val="en-US"/>
        </w:rPr>
        <w:t>.</w:t>
      </w:r>
      <w:commentRangeEnd w:id="0"/>
      <w:r>
        <w:rPr>
          <w:rStyle w:val="CommentReference"/>
          <w:rFonts w:ascii="Times New Roman" w:eastAsiaTheme="minorHAnsi" w:hAnsi="Times New Roman"/>
          <w:sz w:val="24"/>
          <w:szCs w:val="22"/>
          <w:lang w:val="en-US"/>
        </w:rPr>
        <w:commentReference w:id="0"/>
      </w:r>
      <w:r>
        <w:rPr>
          <w:rFonts w:ascii="Times New Roman" w:eastAsiaTheme="minorHAnsi" w:hAnsi="Times New Roman"/>
          <w:szCs w:val="22"/>
          <w:lang w:val="en-US"/>
        </w:rPr>
        <w:t xml:space="preserve"> </w:t>
      </w:r>
      <w:commentRangeStart w:id="1"/>
      <w:commentRangeEnd w:id="1"/>
      <w:r>
        <w:rPr>
          <w:rStyle w:val="CommentReference"/>
          <w:rFonts w:ascii="Times New Roman" w:eastAsiaTheme="minorHAnsi" w:hAnsi="Times New Roman"/>
          <w:sz w:val="24"/>
          <w:szCs w:val="22"/>
          <w:lang w:val="en-US"/>
        </w:rPr>
        <w:commentReference w:id="1"/>
      </w:r>
    </w:p>
    <w:p w14:paraId="1E8EDCBB" w14:textId="77777777" w:rsidR="003B50D0" w:rsidRDefault="003B50D0" w:rsidP="00581DD1">
      <w:pPr>
        <w:autoSpaceDE w:val="0"/>
        <w:autoSpaceDN w:val="0"/>
        <w:adjustRightInd w:val="0"/>
        <w:rPr>
          <w:rFonts w:ascii="Calibri" w:eastAsiaTheme="minorHAnsi" w:hAnsi="Calibri" w:cs="Calibri"/>
          <w:szCs w:val="22"/>
          <w:lang w:val="en-US"/>
        </w:rPr>
      </w:pPr>
    </w:p>
    <w:p w14:paraId="5528C3FA" w14:textId="77777777" w:rsidR="003461F1" w:rsidRPr="00FC14D1" w:rsidRDefault="003461F1" w:rsidP="003461F1">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 xml:space="preserve">Farmers typically buy </w:t>
      </w:r>
      <w:proofErr w:type="spellStart"/>
      <w:r>
        <w:rPr>
          <w:rFonts w:ascii="Times New Roman" w:eastAsiaTheme="minorHAnsi" w:hAnsi="Times New Roman"/>
          <w:szCs w:val="22"/>
          <w:lang w:val="en-US"/>
        </w:rPr>
        <w:t>fertilisers</w:t>
      </w:r>
      <w:proofErr w:type="spellEnd"/>
      <w:r w:rsidRPr="00FC14D1">
        <w:rPr>
          <w:rFonts w:ascii="Times New Roman" w:eastAsiaTheme="minorHAnsi" w:hAnsi="Times New Roman"/>
          <w:szCs w:val="22"/>
          <w:lang w:val="en-US"/>
        </w:rPr>
        <w:t xml:space="preserve"> close to planting. Alternatively, they pre-purchase or order (i.e.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forward contract) </w:t>
      </w:r>
      <w:proofErr w:type="spellStart"/>
      <w:r>
        <w:rPr>
          <w:rFonts w:ascii="Times New Roman" w:eastAsiaTheme="minorHAnsi" w:hAnsi="Times New Roman"/>
          <w:szCs w:val="22"/>
          <w:lang w:val="en-US"/>
        </w:rPr>
        <w:t>fertiliser</w:t>
      </w:r>
      <w:proofErr w:type="spellEnd"/>
      <w:r w:rsidRPr="00FC14D1">
        <w:rPr>
          <w:rFonts w:ascii="Times New Roman" w:eastAsiaTheme="minorHAnsi" w:hAnsi="Times New Roman"/>
          <w:szCs w:val="22"/>
          <w:lang w:val="en-US"/>
        </w:rPr>
        <w:t xml:space="preserve"> in advance. </w:t>
      </w:r>
      <w:r>
        <w:rPr>
          <w:rFonts w:ascii="Times New Roman" w:eastAsiaTheme="minorHAnsi" w:hAnsi="Times New Roman"/>
          <w:szCs w:val="22"/>
          <w:lang w:val="en-US"/>
        </w:rPr>
        <w:t>The use of price risk management tools</w:t>
      </w:r>
      <w:r w:rsidRPr="00FC14D1">
        <w:rPr>
          <w:rFonts w:ascii="Times New Roman" w:eastAsiaTheme="minorHAnsi" w:hAnsi="Times New Roman"/>
          <w:szCs w:val="22"/>
          <w:lang w:val="en-US"/>
        </w:rPr>
        <w:t xml:space="preserve"> represent </w:t>
      </w:r>
      <w:r>
        <w:rPr>
          <w:rFonts w:ascii="Times New Roman" w:eastAsiaTheme="minorHAnsi" w:hAnsi="Times New Roman"/>
          <w:szCs w:val="22"/>
          <w:lang w:val="en-US"/>
        </w:rPr>
        <w:t>a decisions</w:t>
      </w:r>
      <w:r w:rsidRPr="00FC14D1">
        <w:rPr>
          <w:rFonts w:ascii="Times New Roman" w:eastAsiaTheme="minorHAnsi" w:hAnsi="Times New Roman"/>
          <w:szCs w:val="22"/>
          <w:lang w:val="en-US"/>
        </w:rPr>
        <w:t xml:space="preserve"> under ris</w:t>
      </w:r>
      <w:r>
        <w:rPr>
          <w:rFonts w:ascii="Times New Roman" w:eastAsiaTheme="minorHAnsi" w:hAnsi="Times New Roman"/>
          <w:szCs w:val="22"/>
          <w:lang w:val="en-US"/>
        </w:rPr>
        <w:t>k</w:t>
      </w:r>
      <w:r w:rsidRPr="00FC14D1">
        <w:rPr>
          <w:rFonts w:ascii="Times New Roman" w:eastAsiaTheme="minorHAnsi" w:hAnsi="Times New Roman"/>
          <w:szCs w:val="22"/>
          <w:lang w:val="en-US"/>
        </w:rPr>
        <w:t>. In the current literature, financial price risk management decisions are mainly investigated under an Expected Utility (EU)</w:t>
      </w:r>
      <w:r>
        <w:rPr>
          <w:rFonts w:ascii="Times New Roman" w:eastAsiaTheme="minorHAnsi" w:hAnsi="Times New Roman"/>
          <w:szCs w:val="22"/>
          <w:lang w:val="en-US"/>
        </w:rPr>
        <w:t xml:space="preserve"> </w:t>
      </w:r>
      <w:r w:rsidRPr="00FC14D1">
        <w:rPr>
          <w:rFonts w:ascii="Times New Roman" w:eastAsiaTheme="minorHAnsi" w:hAnsi="Times New Roman"/>
          <w:szCs w:val="22"/>
          <w:lang w:val="en-US"/>
        </w:rPr>
        <w:t xml:space="preserve">representation of risk-averse </w:t>
      </w:r>
      <w:proofErr w:type="spellStart"/>
      <w:r>
        <w:rPr>
          <w:rFonts w:ascii="Times New Roman" w:eastAsiaTheme="minorHAnsi" w:hAnsi="Times New Roman"/>
          <w:szCs w:val="22"/>
          <w:lang w:val="en-US"/>
        </w:rPr>
        <w:t>behaviour</w:t>
      </w:r>
      <w:proofErr w:type="spellEnd"/>
      <w:r w:rsidRPr="00FC14D1">
        <w:rPr>
          <w:rFonts w:ascii="Times New Roman" w:eastAsiaTheme="minorHAnsi" w:hAnsi="Times New Roman"/>
          <w:szCs w:val="22"/>
          <w:lang w:val="en-US"/>
        </w:rPr>
        <w:t>. Yet farmers’ limited adoption of these tools contradicts EU</w:t>
      </w:r>
      <w:r>
        <w:rPr>
          <w:rFonts w:ascii="Times New Roman" w:eastAsiaTheme="minorHAnsi" w:hAnsi="Times New Roman"/>
          <w:szCs w:val="22"/>
          <w:lang w:val="en-US"/>
        </w:rPr>
        <w:t xml:space="preserve"> theory</w:t>
      </w:r>
      <w:r w:rsidRPr="00FC14D1">
        <w:rPr>
          <w:rFonts w:ascii="Times New Roman" w:eastAsiaTheme="minorHAnsi" w:hAnsi="Times New Roman"/>
          <w:szCs w:val="22"/>
          <w:lang w:val="en-US"/>
        </w:rPr>
        <w:t xml:space="preserve">, and other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economic theories have been suggested to better explain adoption decisions</w:t>
      </w:r>
      <w:r>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{"citationID":"jywLqc2i","properties":{"formattedCitation":"(Mattos et al., 2008)","plainCitation":"(Mattos et al., 2008)","dontUpdate":true,"noteIndex":0},"citationItems":[{"id":116994,"uris":["http://zotero.org/groups/5760356/items/TYIXDR84"],"itemData":{"id":116994,"type":"article-journal","abstract":"We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(Spada et al., n.d.; Mattos et al., 2008)</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From this, we conclude that the use of financial tools for price risk management can be expanded if these products are tailored to the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preferences of farmers, ensuring that they better align with actual producers’ decision-making </w:t>
      </w:r>
      <w:proofErr w:type="spellStart"/>
      <w:r>
        <w:rPr>
          <w:rFonts w:ascii="Times New Roman" w:eastAsiaTheme="minorHAnsi" w:hAnsi="Times New Roman"/>
          <w:szCs w:val="22"/>
          <w:lang w:val="en-US"/>
        </w:rPr>
        <w:t>behaviour</w:t>
      </w:r>
      <w:proofErr w:type="spellEnd"/>
      <w:r w:rsidRPr="00FC14D1">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{"citationID":"3xonkFeG","properties":{"formattedCitation":"(Dalhaus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w:t>
      </w:r>
      <w:r>
        <w:rPr>
          <w:rFonts w:ascii="Times New Roman" w:eastAsiaTheme="minorHAnsi" w:hAnsi="Times New Roman"/>
          <w:lang w:val="en-US"/>
        </w:rPr>
        <w:t xml:space="preserve">e.g., </w:t>
      </w:r>
      <w:r w:rsidRPr="009A5DD6">
        <w:rPr>
          <w:rFonts w:ascii="Times New Roman" w:eastAsiaTheme="minorHAnsi" w:hAnsi="Times New Roman"/>
          <w:lang w:val="en-US"/>
        </w:rPr>
        <w:t>Dalhaus et al., 2020)</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Understanding farmers' decisions regarding </w:t>
      </w:r>
      <w:proofErr w:type="spellStart"/>
      <w:r>
        <w:rPr>
          <w:rFonts w:ascii="Times New Roman" w:eastAsiaTheme="minorHAnsi" w:hAnsi="Times New Roman"/>
          <w:szCs w:val="22"/>
          <w:lang w:val="en-US"/>
        </w:rPr>
        <w:t>fertiliser</w:t>
      </w:r>
      <w:proofErr w:type="spellEnd"/>
      <w:r w:rsidRPr="00FC14D1">
        <w:rPr>
          <w:rFonts w:ascii="Times New Roman" w:eastAsiaTheme="minorHAnsi" w:hAnsi="Times New Roman"/>
          <w:szCs w:val="22"/>
          <w:lang w:val="en-US"/>
        </w:rPr>
        <w:t xml:space="preserve"> price risk management and incorporating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preferences in financial tools contract design is</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therefore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a relevant approach to enhancing financial tools adoption.</w:t>
      </w:r>
    </w:p>
    <w:p w14:paraId="683BB201" w14:textId="77777777" w:rsidR="003461F1" w:rsidRDefault="003461F1" w:rsidP="00581DD1">
      <w:pPr>
        <w:autoSpaceDE w:val="0"/>
        <w:autoSpaceDN w:val="0"/>
        <w:adjustRightInd w:val="0"/>
        <w:rPr>
          <w:rFonts w:ascii="Calibri" w:eastAsiaTheme="minorHAnsi" w:hAnsi="Calibri" w:cs="Calibri"/>
          <w:szCs w:val="22"/>
          <w:lang w:val="en-US"/>
        </w:rPr>
      </w:pPr>
    </w:p>
    <w:p w14:paraId="3486DAC0" w14:textId="0E6E9C0C" w:rsidR="00491901" w:rsidRDefault="00491901" w:rsidP="00581DD1">
      <w:pPr>
        <w:autoSpaceDE w:val="0"/>
        <w:autoSpaceDN w:val="0"/>
        <w:adjustRightInd w:val="0"/>
        <w:rPr>
          <w:rFonts w:ascii="Calibri" w:eastAsiaTheme="minorHAnsi" w:hAnsi="Calibri" w:cs="Calibri"/>
          <w:szCs w:val="22"/>
          <w:lang w:val="en-US"/>
        </w:rPr>
      </w:pPr>
      <w:r w:rsidRPr="00491901">
        <w:rPr>
          <w:lang w:val="en-GB"/>
        </w:rPr>
        <w:t>Fertilizer support to agricultural producers in the EU heavily increased in the 2020-2022 period when it averaged 27.1 billion USD annually. This accounts for 6% of total producer support nearly doubled from the 2015-2019 average of 15 billion USD (about 3% of total producer support).</w:t>
      </w:r>
    </w:p>
    <w:p w14:paraId="6316263A" w14:textId="63C5748E" w:rsidR="004D2B6E" w:rsidRDefault="004D2B6E" w:rsidP="00581DD1">
      <w:pPr>
        <w:autoSpaceDE w:val="0"/>
        <w:autoSpaceDN w:val="0"/>
        <w:adjustRightInd w:val="0"/>
        <w:rPr>
          <w:rFonts w:ascii="Calibri" w:eastAsiaTheme="minorHAnsi" w:hAnsi="Calibri" w:cs="Calibri"/>
          <w:szCs w:val="22"/>
          <w:lang w:val="en-US"/>
        </w:rPr>
      </w:pPr>
    </w:p>
    <w:p w14:paraId="6786208E" w14:textId="02EF7953" w:rsidR="00DC453C" w:rsidRPr="00DC453C" w:rsidRDefault="006C3BFE" w:rsidP="00581DD1">
      <w:pPr>
        <w:autoSpaceDE w:val="0"/>
        <w:autoSpaceDN w:val="0"/>
        <w:adjustRightInd w:val="0"/>
        <w:rPr>
          <w:rFonts w:ascii="Calibri" w:eastAsiaTheme="minorHAnsi" w:hAnsi="Calibri" w:cs="Calibri"/>
          <w:szCs w:val="22"/>
          <w:lang w:val="en-US"/>
        </w:rPr>
      </w:pPr>
      <w:r>
        <w:rPr>
          <w:noProof/>
        </w:rPr>
        <w:drawing>
          <wp:inline distT="0" distB="0" distL="0" distR="0" wp14:anchorId="380E2884" wp14:editId="58438997">
            <wp:extent cx="5943600" cy="2515235"/>
            <wp:effectExtent l="0" t="0" r="0" b="0"/>
            <wp:docPr id="1" name="Chart 1">
              <a:extLst xmlns:a="http://schemas.openxmlformats.org/drawingml/2006/main">
                <a:ext uri="{FF2B5EF4-FFF2-40B4-BE49-F238E27FC236}">
                  <a16:creationId xmlns:a16="http://schemas.microsoft.com/office/drawing/2014/main" id="{82584733-7A7E-E8C0-5B0E-69BB59B65F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54528AE" w14:textId="170C9949" w:rsidR="00396B5E" w:rsidRPr="00396B5E"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lastRenderedPageBreak/>
        <w:t>Notes: Monthly indices based on nominal US dollars, 2010=100</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Fertilizer Price Index (in Percent): 16.9 natural phosphate rock, 21.7 phosphate, 20.1 potassium, 41.3 nitrogenous</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Energy Price Index (in Percent): 4.7 coal, 84.6 crude oil, 10.8 natural gas</w:t>
      </w:r>
    </w:p>
    <w:p w14:paraId="3A600A55" w14:textId="5936908C" w:rsidR="00DC453C"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t>Source: World Bank monthly commodity prices data "Pink Sheet" March 2024</w:t>
      </w:r>
    </w:p>
    <w:p w14:paraId="02755912" w14:textId="77777777" w:rsidR="00396B5E" w:rsidRPr="00396B5E" w:rsidRDefault="00396B5E" w:rsidP="00396B5E">
      <w:pPr>
        <w:autoSpaceDE w:val="0"/>
        <w:autoSpaceDN w:val="0"/>
        <w:adjustRightInd w:val="0"/>
        <w:rPr>
          <w:rFonts w:ascii="Calibri" w:eastAsiaTheme="minorHAnsi" w:hAnsi="Calibri" w:cs="Calibri"/>
          <w:sz w:val="18"/>
          <w:szCs w:val="18"/>
          <w:lang w:val="en-US"/>
        </w:rPr>
      </w:pPr>
    </w:p>
    <w:p w14:paraId="23678B4E" w14:textId="77777777" w:rsidR="00F01B28" w:rsidRPr="001F7F4D" w:rsidRDefault="00F01B28" w:rsidP="00F01B28">
      <w:pPr>
        <w:autoSpaceDE w:val="0"/>
        <w:autoSpaceDN w:val="0"/>
        <w:adjustRightInd w:val="0"/>
        <w:jc w:val="center"/>
        <w:rPr>
          <w:rFonts w:ascii="News Gothic" w:hAnsi="News Gothic" w:cs="Calibri"/>
          <w:b/>
          <w:bCs/>
          <w:szCs w:val="22"/>
          <w:lang w:val="en-US"/>
        </w:rPr>
      </w:pPr>
      <w:r w:rsidRPr="001F7F4D">
        <w:rPr>
          <w:rFonts w:ascii="News Gothic" w:hAnsi="News Gothic" w:cs="Calibri"/>
          <w:b/>
          <w:bCs/>
          <w:szCs w:val="22"/>
          <w:lang w:val="en-US"/>
        </w:rPr>
        <w:t>Financial tool considered</w:t>
      </w:r>
    </w:p>
    <w:p w14:paraId="4F27CE38" w14:textId="7B87A692" w:rsidR="00B320B5"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Forward</w:t>
      </w:r>
    </w:p>
    <w:p w14:paraId="1E4BD0E6" w14:textId="7EB806CE" w:rsidR="00F0027D" w:rsidRPr="00463DD7"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Price insurance</w:t>
      </w:r>
    </w:p>
    <w:p w14:paraId="4529AA47" w14:textId="7CF1406C" w:rsidR="00C36197" w:rsidRDefault="00C36197" w:rsidP="00E976D1">
      <w:pPr>
        <w:autoSpaceDE w:val="0"/>
        <w:autoSpaceDN w:val="0"/>
        <w:adjustRightInd w:val="0"/>
        <w:rPr>
          <w:rFonts w:ascii="News Gothic" w:hAnsi="News Gothic" w:cs="Calibri"/>
          <w:b/>
          <w:bCs/>
          <w:szCs w:val="22"/>
          <w:lang w:val="en-US"/>
        </w:rPr>
      </w:pPr>
    </w:p>
    <w:p w14:paraId="5A0A30F4" w14:textId="4E0187BB" w:rsidR="004D2B6E" w:rsidRPr="002237B7" w:rsidRDefault="004D2B6E" w:rsidP="002237B7">
      <w:pPr>
        <w:autoSpaceDE w:val="0"/>
        <w:autoSpaceDN w:val="0"/>
        <w:adjustRightInd w:val="0"/>
        <w:jc w:val="center"/>
        <w:rPr>
          <w:rFonts w:ascii="News Gothic" w:hAnsi="News Gothic" w:cs="Calibri"/>
          <w:b/>
          <w:bCs/>
          <w:szCs w:val="22"/>
          <w:lang w:val="en-US"/>
        </w:rPr>
      </w:pPr>
      <w:r w:rsidRPr="004D2B6E">
        <w:rPr>
          <w:rFonts w:ascii="News Gothic" w:hAnsi="News Gothic" w:cs="Calibri"/>
          <w:b/>
          <w:bCs/>
          <w:szCs w:val="22"/>
          <w:lang w:val="en-US"/>
        </w:rPr>
        <w:t>Behavioral adjustments</w:t>
      </w:r>
    </w:p>
    <w:p w14:paraId="34F00F68" w14:textId="07AF976A" w:rsidR="004D2B6E"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Loss aversion</w:t>
      </w:r>
    </w:p>
    <w:p w14:paraId="0705857B" w14:textId="139C9351"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Probability weighting </w:t>
      </w:r>
    </w:p>
    <w:p w14:paraId="508080CB" w14:textId="23BC29D5"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Reference dependence </w:t>
      </w:r>
    </w:p>
    <w:p w14:paraId="2B95C630" w14:textId="0BE274AF" w:rsidR="00F0027D" w:rsidRDefault="00CD003C"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Ambiguity aversion</w:t>
      </w:r>
    </w:p>
    <w:p w14:paraId="304D382C" w14:textId="77777777" w:rsidR="004D2B6E" w:rsidRDefault="004D2B6E" w:rsidP="004D2B6E">
      <w:pPr>
        <w:autoSpaceDE w:val="0"/>
        <w:autoSpaceDN w:val="0"/>
        <w:adjustRightInd w:val="0"/>
        <w:rPr>
          <w:rFonts w:ascii="News Gothic" w:hAnsi="News Gothic" w:cs="Calibri"/>
          <w:szCs w:val="22"/>
          <w:lang w:val="en-US"/>
        </w:rPr>
      </w:pPr>
    </w:p>
    <w:p w14:paraId="042CE3E3" w14:textId="1A254BA0" w:rsidR="00581DD1" w:rsidRDefault="00581DD1" w:rsidP="00581DD1">
      <w:pPr>
        <w:autoSpaceDE w:val="0"/>
        <w:autoSpaceDN w:val="0"/>
        <w:adjustRightInd w:val="0"/>
        <w:rPr>
          <w:rFonts w:ascii="News Gothic" w:hAnsi="News Gothic" w:cs="Calibri"/>
          <w:szCs w:val="22"/>
          <w:lang w:val="en-US"/>
        </w:rPr>
      </w:pPr>
      <w:r w:rsidRPr="00D707E4">
        <w:rPr>
          <w:rFonts w:ascii="News Gothic" w:hAnsi="News Gothic" w:cs="Calibri"/>
          <w:szCs w:val="22"/>
          <w:lang w:val="en-US"/>
        </w:rPr>
        <w:t xml:space="preserve">In a simulation exercise </w:t>
      </w:r>
      <w:r>
        <w:rPr>
          <w:rFonts w:ascii="News Gothic" w:hAnsi="News Gothic" w:cs="Calibri"/>
          <w:szCs w:val="22"/>
          <w:lang w:val="en-US"/>
        </w:rPr>
        <w:t>we</w:t>
      </w:r>
      <w:r w:rsidRPr="00D707E4">
        <w:rPr>
          <w:rFonts w:ascii="News Gothic" w:hAnsi="News Gothic" w:cs="Calibri"/>
          <w:szCs w:val="22"/>
          <w:lang w:val="en-US"/>
        </w:rPr>
        <w:t xml:space="preserve"> will </w:t>
      </w:r>
      <w:r w:rsidR="00BD2280">
        <w:rPr>
          <w:rFonts w:ascii="News Gothic" w:hAnsi="News Gothic" w:cs="Calibri"/>
          <w:szCs w:val="22"/>
          <w:lang w:val="en-US"/>
        </w:rPr>
        <w:t xml:space="preserve">use data derived from a </w:t>
      </w:r>
      <w:r w:rsidR="0023427C">
        <w:rPr>
          <w:rFonts w:ascii="News Gothic" w:hAnsi="News Gothic" w:cs="Calibri"/>
          <w:szCs w:val="22"/>
          <w:lang w:val="en-US"/>
        </w:rPr>
        <w:t>crop</w:t>
      </w:r>
      <w:r w:rsidR="006D2ADA">
        <w:rPr>
          <w:rFonts w:ascii="News Gothic" w:hAnsi="News Gothic" w:cs="Calibri"/>
          <w:szCs w:val="22"/>
          <w:lang w:val="en-US"/>
        </w:rPr>
        <w:t xml:space="preserve"> </w:t>
      </w:r>
      <w:r w:rsidR="0023427C">
        <w:rPr>
          <w:rFonts w:ascii="News Gothic" w:hAnsi="News Gothic" w:cs="Calibri"/>
          <w:szCs w:val="22"/>
          <w:lang w:val="en-US"/>
        </w:rPr>
        <w:t>grow</w:t>
      </w:r>
      <w:r w:rsidR="006D2ADA">
        <w:rPr>
          <w:rFonts w:ascii="News Gothic" w:hAnsi="News Gothic" w:cs="Calibri"/>
          <w:szCs w:val="22"/>
          <w:lang w:val="en-US"/>
        </w:rPr>
        <w:t>th</w:t>
      </w:r>
      <w:r w:rsidR="00BD2280">
        <w:rPr>
          <w:rFonts w:ascii="News Gothic" w:hAnsi="News Gothic" w:cs="Calibri"/>
          <w:szCs w:val="22"/>
          <w:lang w:val="en-US"/>
        </w:rPr>
        <w:t xml:space="preserve"> model (</w:t>
      </w:r>
      <w:proofErr w:type="spellStart"/>
      <w:r w:rsidR="00BD2280">
        <w:rPr>
          <w:rFonts w:ascii="News Gothic" w:hAnsi="News Gothic" w:cs="Calibri"/>
          <w:szCs w:val="22"/>
          <w:lang w:val="en-US"/>
        </w:rPr>
        <w:t>FarmDyn</w:t>
      </w:r>
      <w:proofErr w:type="spellEnd"/>
      <w:r w:rsidR="00BD2280">
        <w:rPr>
          <w:rFonts w:ascii="News Gothic" w:hAnsi="News Gothic" w:cs="Calibri"/>
          <w:szCs w:val="22"/>
          <w:lang w:val="en-US"/>
        </w:rPr>
        <w:t xml:space="preserve">) </w:t>
      </w:r>
      <w:r w:rsidR="006D2ADA">
        <w:rPr>
          <w:rFonts w:ascii="News Gothic" w:hAnsi="News Gothic" w:cs="Calibri"/>
          <w:szCs w:val="22"/>
          <w:lang w:val="en-US"/>
        </w:rPr>
        <w:t>based on</w:t>
      </w:r>
      <w:r w:rsidR="001E05E8">
        <w:rPr>
          <w:rFonts w:ascii="News Gothic" w:hAnsi="News Gothic" w:cs="Calibri"/>
          <w:szCs w:val="22"/>
          <w:lang w:val="en-US"/>
        </w:rPr>
        <w:t xml:space="preserve"> </w:t>
      </w:r>
      <w:r w:rsidR="00BD2280">
        <w:rPr>
          <w:rFonts w:ascii="News Gothic" w:hAnsi="News Gothic" w:cs="Calibri"/>
          <w:szCs w:val="22"/>
          <w:lang w:val="en-US"/>
        </w:rPr>
        <w:t>data</w:t>
      </w:r>
      <w:r w:rsidR="00BD2280" w:rsidRPr="00D707E4">
        <w:rPr>
          <w:rFonts w:ascii="News Gothic" w:hAnsi="News Gothic" w:cs="Calibri"/>
          <w:szCs w:val="22"/>
          <w:lang w:val="en-US"/>
        </w:rPr>
        <w:t xml:space="preserve"> o</w:t>
      </w:r>
      <w:r w:rsidR="006D2ADA">
        <w:rPr>
          <w:rFonts w:ascii="News Gothic" w:hAnsi="News Gothic" w:cs="Calibri"/>
          <w:szCs w:val="22"/>
          <w:lang w:val="en-US"/>
        </w:rPr>
        <w:t>f</w:t>
      </w:r>
      <w:r w:rsidR="00BD2280">
        <w:rPr>
          <w:rFonts w:ascii="News Gothic" w:hAnsi="News Gothic" w:cs="Calibri"/>
          <w:szCs w:val="22"/>
          <w:lang w:val="en-US"/>
        </w:rPr>
        <w:t xml:space="preserve"> representative </w:t>
      </w:r>
      <w:r w:rsidR="006D2ADA">
        <w:rPr>
          <w:rFonts w:ascii="News Gothic" w:hAnsi="News Gothic" w:cs="Calibri"/>
          <w:szCs w:val="22"/>
          <w:lang w:val="en-US"/>
        </w:rPr>
        <w:t xml:space="preserve">FADN </w:t>
      </w:r>
      <w:r w:rsidR="00BD2280">
        <w:rPr>
          <w:rFonts w:ascii="News Gothic" w:hAnsi="News Gothic" w:cs="Calibri"/>
          <w:szCs w:val="22"/>
          <w:lang w:val="en-US"/>
        </w:rPr>
        <w:t>farms</w:t>
      </w:r>
      <w:r w:rsidR="001E05E8">
        <w:rPr>
          <w:rFonts w:ascii="News Gothic" w:hAnsi="News Gothic" w:cs="Calibri"/>
          <w:szCs w:val="22"/>
          <w:lang w:val="en-US"/>
        </w:rPr>
        <w:t xml:space="preserve">, to </w:t>
      </w:r>
      <w:r w:rsidRPr="00D707E4">
        <w:rPr>
          <w:rFonts w:ascii="News Gothic" w:hAnsi="News Gothic" w:cs="Calibri"/>
          <w:szCs w:val="22"/>
          <w:lang w:val="en-US"/>
        </w:rPr>
        <w:t>make an ex-ante assessment</w:t>
      </w:r>
      <w:r>
        <w:rPr>
          <w:rFonts w:ascii="News Gothic" w:hAnsi="News Gothic" w:cs="Calibri"/>
          <w:szCs w:val="22"/>
          <w:lang w:val="en-US"/>
        </w:rPr>
        <w:t xml:space="preserve"> of the impact </w:t>
      </w:r>
      <w:r w:rsidR="00170B5F">
        <w:rPr>
          <w:rFonts w:ascii="News Gothic" w:hAnsi="News Gothic" w:cs="Calibri"/>
          <w:szCs w:val="22"/>
          <w:lang w:val="en-US"/>
        </w:rPr>
        <w:t xml:space="preserve">the improved financial tools </w:t>
      </w:r>
      <w:r>
        <w:rPr>
          <w:rFonts w:ascii="News Gothic" w:hAnsi="News Gothic" w:cs="Calibri"/>
          <w:szCs w:val="22"/>
          <w:lang w:val="en-US"/>
        </w:rPr>
        <w:t>on the objective function</w:t>
      </w:r>
      <w:r w:rsidR="00170B5F">
        <w:rPr>
          <w:rFonts w:ascii="News Gothic" w:hAnsi="News Gothic" w:cs="Calibri"/>
          <w:color w:val="000000"/>
          <w:szCs w:val="22"/>
          <w:lang w:val="en-US"/>
        </w:rPr>
        <w:t>.</w:t>
      </w:r>
      <w:r w:rsidR="004D2B6E">
        <w:rPr>
          <w:rFonts w:ascii="News Gothic" w:hAnsi="News Gothic" w:cs="Calibri"/>
          <w:color w:val="000000"/>
          <w:szCs w:val="22"/>
          <w:lang w:val="en-US"/>
        </w:rPr>
        <w:t xml:space="preserve"> </w:t>
      </w:r>
    </w:p>
    <w:p w14:paraId="02F1E657" w14:textId="151E55E0" w:rsidR="004D2B6E" w:rsidRDefault="004D2B6E" w:rsidP="00581DD1">
      <w:pPr>
        <w:autoSpaceDE w:val="0"/>
        <w:autoSpaceDN w:val="0"/>
        <w:adjustRightInd w:val="0"/>
        <w:rPr>
          <w:rFonts w:ascii="News Gothic" w:hAnsi="News Gothic" w:cs="Calibri"/>
          <w:szCs w:val="22"/>
          <w:lang w:val="en-US"/>
        </w:rPr>
      </w:pPr>
    </w:p>
    <w:p w14:paraId="7B119CA0" w14:textId="23B79BB2" w:rsidR="002A7DED" w:rsidRDefault="002A7DED" w:rsidP="00581DD1">
      <w:pPr>
        <w:autoSpaceDE w:val="0"/>
        <w:autoSpaceDN w:val="0"/>
        <w:adjustRightInd w:val="0"/>
        <w:rPr>
          <w:rFonts w:ascii="News Gothic" w:hAnsi="News Gothic" w:cs="Calibri"/>
          <w:szCs w:val="22"/>
          <w:lang w:val="en-US"/>
        </w:rPr>
      </w:pPr>
      <w:r>
        <w:rPr>
          <w:rFonts w:ascii="News Gothic" w:hAnsi="News Gothic" w:cs="Calibri"/>
          <w:szCs w:val="22"/>
          <w:lang w:val="en-US"/>
        </w:rPr>
        <w:t xml:space="preserve">The </w:t>
      </w:r>
      <w:r w:rsidR="00F94034">
        <w:rPr>
          <w:rFonts w:ascii="News Gothic" w:hAnsi="News Gothic" w:cs="Calibri"/>
          <w:szCs w:val="22"/>
          <w:lang w:val="en-US"/>
        </w:rPr>
        <w:t xml:space="preserve">information derived from the bio-economic model will enter an economic decision model </w:t>
      </w:r>
    </w:p>
    <w:p w14:paraId="45B64FAE" w14:textId="7E1BB301" w:rsidR="004D2B6E" w:rsidRDefault="004D2B6E" w:rsidP="00581DD1">
      <w:pPr>
        <w:autoSpaceDE w:val="0"/>
        <w:autoSpaceDN w:val="0"/>
        <w:adjustRightInd w:val="0"/>
        <w:rPr>
          <w:rFonts w:ascii="News Gothic" w:hAnsi="News Gothic" w:cs="Calibri"/>
          <w:szCs w:val="22"/>
          <w:lang w:val="en-US"/>
        </w:rPr>
      </w:pPr>
    </w:p>
    <w:p w14:paraId="246F668E" w14:textId="77777777" w:rsidR="008844A8" w:rsidRPr="008844A8" w:rsidRDefault="008844A8" w:rsidP="008844A8">
      <w:pPr>
        <w:jc w:val="both"/>
        <w:rPr>
          <w:lang w:val="en-US"/>
        </w:rPr>
      </w:pPr>
      <w:r w:rsidRPr="008844A8">
        <w:rPr>
          <w:lang w:val="en-US"/>
        </w:rPr>
        <w:t>The theoretical framework is based on a multistage production timeline, along which input and output prices are risky in future time steps and deterministic in current and past time steps (</w:t>
      </w:r>
      <w:r w:rsidRPr="59478C1A">
        <w:fldChar w:fldCharType="begin"/>
      </w:r>
      <w:r w:rsidRPr="008844A8">
        <w:rPr>
          <w:lang w:val="en-US"/>
        </w:rPr>
        <w:instrText xml:space="preserve"> REF _Ref169533915 \h  \* MERGEFORMAT </w:instrText>
      </w:r>
      <w:r w:rsidRPr="59478C1A">
        <w:fldChar w:fldCharType="separate"/>
      </w:r>
      <w:r w:rsidRPr="008844A8">
        <w:rPr>
          <w:lang w:val="en-US"/>
        </w:rPr>
        <w:t xml:space="preserve">Figure </w:t>
      </w:r>
      <w:r w:rsidRPr="008844A8">
        <w:rPr>
          <w:noProof/>
          <w:lang w:val="en-US"/>
        </w:rPr>
        <w:t>1</w:t>
      </w:r>
      <w:r w:rsidRPr="59478C1A">
        <w:fldChar w:fldCharType="end"/>
      </w:r>
      <w:r w:rsidRPr="008844A8">
        <w:rPr>
          <w:lang w:val="en-US"/>
        </w:rPr>
        <w:t>).</w:t>
      </w:r>
    </w:p>
    <w:p w14:paraId="60BE1220" w14:textId="77777777" w:rsidR="008844A8" w:rsidRPr="008844A8" w:rsidRDefault="008844A8" w:rsidP="008844A8">
      <w:pPr>
        <w:jc w:val="both"/>
        <w:rPr>
          <w:noProof/>
          <w:szCs w:val="24"/>
          <w:lang w:val="en-US"/>
        </w:rPr>
      </w:pPr>
    </w:p>
    <w:p w14:paraId="76CA4CD5" w14:textId="77777777" w:rsidR="008844A8" w:rsidRDefault="008844A8" w:rsidP="008844A8">
      <w:pPr>
        <w:keepNext/>
        <w:jc w:val="both"/>
      </w:pPr>
      <w:r>
        <w:rPr>
          <w:noProof/>
          <w:szCs w:val="24"/>
        </w:rPr>
        <w:drawing>
          <wp:inline distT="0" distB="0" distL="0" distR="0" wp14:anchorId="11C1EAB9" wp14:editId="39D83259">
            <wp:extent cx="5943600" cy="3246167"/>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rotWithShape="1">
                    <a:blip r:embed="rId12" cstate="print">
                      <a:extLst>
                        <a:ext uri="{28A0092B-C50C-407E-A947-70E740481C1C}">
                          <a14:useLocalDpi xmlns:a14="http://schemas.microsoft.com/office/drawing/2010/main" val="0"/>
                        </a:ext>
                      </a:extLst>
                    </a:blip>
                    <a:srcRect t="42735"/>
                    <a:stretch/>
                  </pic:blipFill>
                  <pic:spPr bwMode="auto">
                    <a:xfrm>
                      <a:off x="0" y="0"/>
                      <a:ext cx="5943600" cy="3246167"/>
                    </a:xfrm>
                    <a:prstGeom prst="rect">
                      <a:avLst/>
                    </a:prstGeom>
                    <a:ln>
                      <a:noFill/>
                    </a:ln>
                    <a:extLst>
                      <a:ext uri="{53640926-AAD7-44D8-BBD7-CCE9431645EC}">
                        <a14:shadowObscured xmlns:a14="http://schemas.microsoft.com/office/drawing/2010/main"/>
                      </a:ext>
                    </a:extLst>
                  </pic:spPr>
                </pic:pic>
              </a:graphicData>
            </a:graphic>
          </wp:inline>
        </w:drawing>
      </w:r>
    </w:p>
    <w:p w14:paraId="49F28735" w14:textId="77777777" w:rsidR="008844A8" w:rsidRPr="008844A8" w:rsidRDefault="008844A8" w:rsidP="008844A8">
      <w:pPr>
        <w:pStyle w:val="Caption"/>
        <w:jc w:val="both"/>
        <w:rPr>
          <w:rFonts w:ascii="Times New Roman" w:hAnsi="Times New Roman"/>
          <w:color w:val="auto"/>
          <w:szCs w:val="24"/>
          <w:lang w:val="en-US"/>
        </w:rPr>
      </w:pPr>
      <w:bookmarkStart w:id="2" w:name="_Ref169533915"/>
      <w:commentRangeStart w:id="3"/>
      <w:r w:rsidRPr="008844A8">
        <w:rPr>
          <w:rFonts w:ascii="Times New Roman" w:hAnsi="Times New Roman"/>
          <w:b/>
          <w:bCs/>
          <w:color w:val="auto"/>
          <w:lang w:val="en-US"/>
        </w:rPr>
        <w:t xml:space="preserve">Figure </w:t>
      </w:r>
      <w:r w:rsidRPr="00DF442C">
        <w:rPr>
          <w:rFonts w:ascii="Times New Roman" w:hAnsi="Times New Roman"/>
          <w:b/>
          <w:bCs/>
          <w:color w:val="auto"/>
        </w:rPr>
        <w:fldChar w:fldCharType="begin"/>
      </w:r>
      <w:r w:rsidRPr="008844A8">
        <w:rPr>
          <w:rFonts w:ascii="Times New Roman" w:hAnsi="Times New Roman"/>
          <w:b/>
          <w:bCs/>
          <w:color w:val="auto"/>
          <w:lang w:val="en-US"/>
        </w:rPr>
        <w:instrText xml:space="preserve"> SEQ Figure \* ARABIC </w:instrText>
      </w:r>
      <w:r w:rsidRPr="00DF442C">
        <w:rPr>
          <w:rFonts w:ascii="Times New Roman" w:hAnsi="Times New Roman"/>
          <w:b/>
          <w:bCs/>
          <w:color w:val="auto"/>
        </w:rPr>
        <w:fldChar w:fldCharType="separate"/>
      </w:r>
      <w:r w:rsidRPr="008844A8">
        <w:rPr>
          <w:rFonts w:ascii="Times New Roman" w:hAnsi="Times New Roman"/>
          <w:b/>
          <w:bCs/>
          <w:noProof/>
          <w:color w:val="auto"/>
          <w:lang w:val="en-US"/>
        </w:rPr>
        <w:t>1</w:t>
      </w:r>
      <w:r w:rsidRPr="00DF442C">
        <w:rPr>
          <w:rFonts w:ascii="Times New Roman" w:hAnsi="Times New Roman"/>
          <w:b/>
          <w:bCs/>
          <w:color w:val="auto"/>
        </w:rPr>
        <w:fldChar w:fldCharType="end"/>
      </w:r>
      <w:bookmarkEnd w:id="2"/>
      <w:r w:rsidRPr="008844A8">
        <w:rPr>
          <w:rFonts w:ascii="Times New Roman" w:hAnsi="Times New Roman"/>
          <w:color w:val="auto"/>
          <w:lang w:val="en-US"/>
        </w:rPr>
        <w:t xml:space="preserve">. </w:t>
      </w:r>
      <w:commentRangeEnd w:id="3"/>
      <w:r>
        <w:rPr>
          <w:rStyle w:val="CommentReference"/>
          <w:rFonts w:eastAsiaTheme="majorEastAsia"/>
          <w:iCs w:val="0"/>
          <w:color w:val="auto"/>
        </w:rPr>
        <w:commentReference w:id="3"/>
      </w:r>
      <w:r w:rsidRPr="008844A8">
        <w:rPr>
          <w:rFonts w:ascii="Times New Roman" w:hAnsi="Times New Roman"/>
          <w:color w:val="auto"/>
          <w:lang w:val="en-US"/>
        </w:rPr>
        <w:t>Financial tools and decision making under risk</w:t>
      </w:r>
    </w:p>
    <w:p w14:paraId="49C2E23E" w14:textId="77777777" w:rsidR="008844A8" w:rsidRDefault="008844A8" w:rsidP="00581DD1">
      <w:pPr>
        <w:autoSpaceDE w:val="0"/>
        <w:autoSpaceDN w:val="0"/>
        <w:adjustRightInd w:val="0"/>
        <w:rPr>
          <w:rFonts w:ascii="News Gothic" w:hAnsi="News Gothic" w:cs="Calibri"/>
          <w:szCs w:val="22"/>
          <w:lang w:val="en-US"/>
        </w:rPr>
      </w:pPr>
    </w:p>
    <w:p w14:paraId="07AF23AE" w14:textId="77777777" w:rsidR="004D2B6E" w:rsidRPr="004D2B6E" w:rsidRDefault="004D2B6E" w:rsidP="00581DD1">
      <w:pPr>
        <w:autoSpaceDE w:val="0"/>
        <w:autoSpaceDN w:val="0"/>
        <w:adjustRightInd w:val="0"/>
        <w:rPr>
          <w:rFonts w:ascii="News Gothic" w:hAnsi="News Gothic" w:cs="Calibri"/>
          <w:color w:val="000000"/>
          <w:szCs w:val="22"/>
          <w:lang w:val="en-US"/>
        </w:rPr>
      </w:pPr>
    </w:p>
    <w:p w14:paraId="4F3B30E9" w14:textId="6C143285" w:rsidR="002A63D3" w:rsidRDefault="00B800EF" w:rsidP="00B800EF">
      <w:pPr>
        <w:pStyle w:val="Heading2"/>
        <w:rPr>
          <w:lang w:val="en-US"/>
        </w:rPr>
      </w:pPr>
      <w:r>
        <w:rPr>
          <w:lang w:val="en-US"/>
        </w:rPr>
        <w:lastRenderedPageBreak/>
        <w:t>Literature review</w:t>
      </w:r>
    </w:p>
    <w:p w14:paraId="242A280A" w14:textId="77777777" w:rsidR="00306FF7" w:rsidRPr="0010574E" w:rsidRDefault="00306FF7" w:rsidP="00306FF7">
      <w:pPr>
        <w:jc w:val="both"/>
        <w:rPr>
          <w:i/>
          <w:iCs/>
          <w:lang w:val="en-US"/>
        </w:rPr>
      </w:pPr>
      <w:r w:rsidRPr="0010574E">
        <w:rPr>
          <w:i/>
          <w:iCs/>
          <w:lang w:val="en-US"/>
        </w:rPr>
        <w:t xml:space="preserve">Literature </w:t>
      </w:r>
      <w:r>
        <w:rPr>
          <w:i/>
          <w:iCs/>
          <w:lang w:val="en-US"/>
        </w:rPr>
        <w:t>on</w:t>
      </w:r>
      <w:r w:rsidRPr="0010574E">
        <w:rPr>
          <w:i/>
          <w:iCs/>
          <w:lang w:val="en-US"/>
        </w:rPr>
        <w:t xml:space="preserve"> </w:t>
      </w:r>
      <w:proofErr w:type="spellStart"/>
      <w:r>
        <w:rPr>
          <w:i/>
          <w:iCs/>
          <w:lang w:val="en-US"/>
        </w:rPr>
        <w:t>behavioural</w:t>
      </w:r>
      <w:proofErr w:type="spellEnd"/>
      <w:r w:rsidRPr="0010574E">
        <w:rPr>
          <w:i/>
          <w:iCs/>
          <w:lang w:val="en-US"/>
        </w:rPr>
        <w:t xml:space="preserve"> contract design</w:t>
      </w:r>
    </w:p>
    <w:p w14:paraId="004ECCA5" w14:textId="77777777" w:rsidR="00306FF7" w:rsidRDefault="00306FF7" w:rsidP="00306FF7">
      <w:pPr>
        <w:jc w:val="both"/>
        <w:rPr>
          <w:lang w:val="en-US"/>
        </w:rPr>
      </w:pPr>
      <w:proofErr w:type="spellStart"/>
      <w:r>
        <w:rPr>
          <w:lang w:val="en-US"/>
        </w:rPr>
        <w:t>Behavioural</w:t>
      </w:r>
      <w:proofErr w:type="spellEnd"/>
      <w:r>
        <w:rPr>
          <w:lang w:val="en-US"/>
        </w:rPr>
        <w:t xml:space="preserve"> adjustments of contract design have been gaining traction in many fields. Optimal contract design under CPT decision-making </w:t>
      </w:r>
      <w:proofErr w:type="spellStart"/>
      <w:r>
        <w:rPr>
          <w:lang w:val="en-US"/>
        </w:rPr>
        <w:t>behaviour</w:t>
      </w:r>
      <w:proofErr w:type="spellEnd"/>
      <w:r>
        <w:rPr>
          <w:lang w:val="en-US"/>
        </w:rPr>
        <w:t xml:space="preserve"> has been derived mathematically, both for insurance </w:t>
      </w:r>
      <w:r>
        <w:rPr>
          <w:lang w:val="en-US"/>
        </w:rPr>
        <w:fldChar w:fldCharType="begin"/>
      </w:r>
      <w:r>
        <w:rPr>
          <w:lang w:val="en-US"/>
        </w:rPr>
        <w:instrText xml:space="preserve"> ADDIN ZOTERO_ITEM CSL_CITATION {"citationID":"8cs014MK","properties":{"formattedCitation":"(Sung et al., 2011)","plainCitation":"(Sung et al., 2011)","noteIndex":0},"citationItems":[{"id":61533,"uris":["http://zotero.org/users/14812719/items/3MIR4K9B"],"itemData":{"id":61533,"type":"article-journal","abstract":"The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D53776">
        <w:rPr>
          <w:lang w:val="en-US"/>
        </w:rPr>
        <w:t>(Sung et al., 2011)</w:t>
      </w:r>
      <w:r>
        <w:rPr>
          <w:lang w:val="en-US"/>
        </w:rPr>
        <w:fldChar w:fldCharType="end"/>
      </w:r>
      <w:r w:rsidRPr="00D53776">
        <w:rPr>
          <w:lang w:val="en-US"/>
        </w:rPr>
        <w:t xml:space="preserve"> </w:t>
      </w:r>
      <w:r>
        <w:rPr>
          <w:lang w:val="en-US"/>
        </w:rPr>
        <w:t>and labor contracts</w:t>
      </w:r>
      <w:r w:rsidRPr="00D53776">
        <w:rPr>
          <w:lang w:val="en-US"/>
        </w:rPr>
        <w:t xml:space="preserve"> </w:t>
      </w:r>
      <w:r>
        <w:rPr>
          <w:lang w:val="en-US"/>
        </w:rPr>
        <w:t>(</w:t>
      </w:r>
      <w:r>
        <w:rPr>
          <w:lang w:val="en-US"/>
        </w:rPr>
        <w:fldChar w:fldCharType="begin"/>
      </w:r>
      <w:r>
        <w:rPr>
          <w:lang w:val="en-US"/>
        </w:rPr>
        <w:instrText xml:space="preserve"> ADDIN ZOTERO_ITEM CSL_CITATION {"citationID":"L3hhf8Y6","properties":{"formattedCitation":"(Lukas,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306FF7">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7146B5">
        <w:t>Lukas, 2018)</w:t>
      </w:r>
      <w:r>
        <w:rPr>
          <w:lang w:val="en-US"/>
        </w:rPr>
        <w:fldChar w:fldCharType="end"/>
      </w:r>
      <w:r w:rsidRPr="007146B5">
        <w:t xml:space="preserve">. </w:t>
      </w:r>
      <w:r>
        <w:rPr>
          <w:lang w:val="en-US"/>
        </w:rPr>
        <w:fldChar w:fldCharType="begin"/>
      </w:r>
      <w:r>
        <w:instrText xml:space="preserve"> ADDIN ZOTERO_ITEM CSL_CITATION {"citationID":"6XDcOwOZ","properties":{"formattedCitation":"(Sung et al., 2011)","plainCitation":"(Sung et al., 2011)","dontUpdate":true,"noteIndex":0},"citationItems":[{"id":61533,"uris":["http://zotero.org/users/14812719/items/3MIR4K9B"],"itemData":{"id":61533,"type":"article-journal","abstract":"The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7146B5">
        <w:t>Sung et al. (2011)</w:t>
      </w:r>
      <w:r>
        <w:rPr>
          <w:lang w:val="en-US"/>
        </w:rPr>
        <w:fldChar w:fldCharType="end"/>
      </w:r>
      <w:r w:rsidRPr="007146B5">
        <w:t xml:space="preserve"> found </w:t>
      </w:r>
      <w:proofErr w:type="spellStart"/>
      <w:r w:rsidRPr="007146B5">
        <w:t>that</w:t>
      </w:r>
      <w:proofErr w:type="spellEnd"/>
      <w:r w:rsidRPr="007146B5">
        <w:t xml:space="preserve"> </w:t>
      </w:r>
      <w:proofErr w:type="spellStart"/>
      <w:r w:rsidRPr="007146B5">
        <w:t>with</w:t>
      </w:r>
      <w:proofErr w:type="spellEnd"/>
      <w:r w:rsidRPr="007146B5">
        <w:t xml:space="preserve"> </w:t>
      </w:r>
      <w:r>
        <w:t>a</w:t>
      </w:r>
      <w:r w:rsidRPr="007146B5">
        <w:t xml:space="preserve"> </w:t>
      </w:r>
      <w:proofErr w:type="spellStart"/>
      <w:r w:rsidRPr="007146B5">
        <w:t>fixed</w:t>
      </w:r>
      <w:proofErr w:type="spellEnd"/>
      <w:r w:rsidRPr="007146B5">
        <w:t xml:space="preserve"> premium, </w:t>
      </w:r>
      <w:proofErr w:type="spellStart"/>
      <w:r w:rsidRPr="007146B5">
        <w:t>the</w:t>
      </w:r>
      <w:proofErr w:type="spellEnd"/>
      <w:r w:rsidRPr="007146B5">
        <w:t xml:space="preserve"> </w:t>
      </w:r>
      <w:proofErr w:type="spellStart"/>
      <w:r w:rsidRPr="007146B5">
        <w:t>optimal</w:t>
      </w:r>
      <w:proofErr w:type="spellEnd"/>
      <w:r w:rsidRPr="007146B5">
        <w:t xml:space="preserve"> </w:t>
      </w:r>
      <w:proofErr w:type="spellStart"/>
      <w:r w:rsidRPr="007146B5">
        <w:t>insurance</w:t>
      </w:r>
      <w:proofErr w:type="spellEnd"/>
      <w:r w:rsidRPr="007146B5">
        <w:t xml:space="preserve"> is a </w:t>
      </w:r>
      <w:proofErr w:type="spellStart"/>
      <w:r>
        <w:t>generalised</w:t>
      </w:r>
      <w:proofErr w:type="spellEnd"/>
      <w:r w:rsidRPr="007146B5">
        <w:t xml:space="preserve"> </w:t>
      </w:r>
      <w:proofErr w:type="spellStart"/>
      <w:r w:rsidRPr="007146B5">
        <w:t>insurance</w:t>
      </w:r>
      <w:proofErr w:type="spellEnd"/>
      <w:r w:rsidRPr="007146B5">
        <w:t xml:space="preserve"> </w:t>
      </w:r>
      <w:proofErr w:type="spellStart"/>
      <w:r w:rsidRPr="007146B5">
        <w:t>layer</w:t>
      </w:r>
      <w:proofErr w:type="spellEnd"/>
      <w:r>
        <w:t>,</w:t>
      </w:r>
      <w:r w:rsidRPr="00327C48">
        <w:rPr>
          <w:rStyle w:val="FootnoteReference"/>
          <w:rFonts w:eastAsiaTheme="majorEastAsia"/>
        </w:rPr>
        <w:footnoteReference w:id="1"/>
      </w:r>
      <w:r w:rsidRPr="007146B5">
        <w:t xml:space="preserve"> </w:t>
      </w:r>
      <w:proofErr w:type="spellStart"/>
      <w:r w:rsidRPr="007146B5">
        <w:t>and</w:t>
      </w:r>
      <w:proofErr w:type="spellEnd"/>
      <w:r w:rsidRPr="007146B5">
        <w:t xml:space="preserve"> </w:t>
      </w:r>
      <w:proofErr w:type="spellStart"/>
      <w:r w:rsidRPr="007146B5">
        <w:t>when</w:t>
      </w:r>
      <w:proofErr w:type="spellEnd"/>
      <w:r w:rsidRPr="007146B5">
        <w:t xml:space="preserve"> </w:t>
      </w:r>
      <w:proofErr w:type="spellStart"/>
      <w:r w:rsidRPr="007146B5">
        <w:t>the</w:t>
      </w:r>
      <w:proofErr w:type="spellEnd"/>
      <w:r w:rsidRPr="007146B5">
        <w:t xml:space="preserve"> premium is </w:t>
      </w:r>
      <w:proofErr w:type="spellStart"/>
      <w:r w:rsidRPr="007146B5">
        <w:t>also</w:t>
      </w:r>
      <w:proofErr w:type="spellEnd"/>
      <w:r w:rsidRPr="007146B5">
        <w:t xml:space="preserve"> a </w:t>
      </w:r>
      <w:proofErr w:type="spellStart"/>
      <w:r w:rsidRPr="007146B5">
        <w:t>decision</w:t>
      </w:r>
      <w:proofErr w:type="spellEnd"/>
      <w:r w:rsidRPr="007146B5">
        <w:t xml:space="preserve"> </w:t>
      </w:r>
      <w:proofErr w:type="spellStart"/>
      <w:r w:rsidRPr="007146B5">
        <w:t>variable</w:t>
      </w:r>
      <w:proofErr w:type="spellEnd"/>
      <w:r w:rsidRPr="007146B5">
        <w:t xml:space="preserve">, </w:t>
      </w:r>
      <w:proofErr w:type="spellStart"/>
      <w:r w:rsidRPr="007146B5">
        <w:t>the</w:t>
      </w:r>
      <w:proofErr w:type="spellEnd"/>
      <w:r w:rsidRPr="007146B5">
        <w:t xml:space="preserve"> </w:t>
      </w:r>
      <w:proofErr w:type="spellStart"/>
      <w:r w:rsidRPr="007146B5">
        <w:t>optimal</w:t>
      </w:r>
      <w:proofErr w:type="spellEnd"/>
      <w:r w:rsidRPr="007146B5">
        <w:t xml:space="preserve"> </w:t>
      </w:r>
      <w:proofErr w:type="spellStart"/>
      <w:r w:rsidRPr="007146B5">
        <w:t>insurance</w:t>
      </w:r>
      <w:proofErr w:type="spellEnd"/>
      <w:r w:rsidRPr="007146B5">
        <w:t xml:space="preserve"> </w:t>
      </w:r>
      <w:proofErr w:type="spellStart"/>
      <w:r w:rsidRPr="007146B5">
        <w:t>should</w:t>
      </w:r>
      <w:proofErr w:type="spellEnd"/>
      <w:r w:rsidRPr="007146B5">
        <w:t xml:space="preserve"> </w:t>
      </w:r>
      <w:proofErr w:type="spellStart"/>
      <w:r w:rsidRPr="007146B5">
        <w:t>provide</w:t>
      </w:r>
      <w:proofErr w:type="spellEnd"/>
      <w:r w:rsidRPr="007146B5">
        <w:t xml:space="preserve"> no </w:t>
      </w:r>
      <w:proofErr w:type="spellStart"/>
      <w:r w:rsidRPr="007146B5">
        <w:t>deductibles</w:t>
      </w:r>
      <w:proofErr w:type="spellEnd"/>
      <w:r w:rsidRPr="007146B5">
        <w:t xml:space="preserve">. </w:t>
      </w:r>
      <w:r>
        <w:rPr>
          <w:lang w:val="en-US"/>
        </w:rPr>
        <w:fldChar w:fldCharType="begin"/>
      </w:r>
      <w:r>
        <w:instrText xml:space="preserve"> ADDIN ZOTERO_ITEM CSL_CITATION {"citationID":"kZJnFRBd","properties":{"formattedCitation":"(Lukas,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3C0C4F">
        <w:rPr>
          <w:lang w:val="en-GB"/>
        </w:rPr>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w:instrText>
      </w:r>
      <w:r w:rsidRPr="00306FF7">
        <w:rPr>
          <w:lang w:val="en-GB"/>
        </w:rPr>
        <w:instrText xml:space="preserve">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E55C75">
        <w:rPr>
          <w:lang w:val="en-US"/>
        </w:rPr>
        <w:t>Lukas (2018)</w:t>
      </w:r>
      <w:r>
        <w:rPr>
          <w:lang w:val="en-US"/>
        </w:rPr>
        <w:fldChar w:fldCharType="end"/>
      </w:r>
      <w:r w:rsidRPr="00E55C75">
        <w:rPr>
          <w:lang w:val="en-US"/>
        </w:rPr>
        <w:t xml:space="preserve"> summarizes findings from the literature on </w:t>
      </w:r>
      <w:proofErr w:type="spellStart"/>
      <w:r>
        <w:rPr>
          <w:lang w:val="en-US"/>
        </w:rPr>
        <w:t>behavioural</w:t>
      </w:r>
      <w:proofErr w:type="spellEnd"/>
      <w:r w:rsidRPr="00E55C75">
        <w:rPr>
          <w:lang w:val="en-US"/>
        </w:rPr>
        <w:t xml:space="preserve"> extensions to labor contract design and </w:t>
      </w:r>
      <w:r>
        <w:rPr>
          <w:lang w:val="en-US"/>
        </w:rPr>
        <w:t>concludes</w:t>
      </w:r>
      <w:r w:rsidRPr="00E55C75">
        <w:rPr>
          <w:lang w:val="en-US"/>
        </w:rPr>
        <w:t xml:space="preserve"> that under loss aversion, the optimal contract </w:t>
      </w:r>
      <w:proofErr w:type="spellStart"/>
      <w:r>
        <w:rPr>
          <w:lang w:val="en-US"/>
        </w:rPr>
        <w:t>minimises</w:t>
      </w:r>
      <w:proofErr w:type="spellEnd"/>
      <w:r w:rsidRPr="00E55C75">
        <w:rPr>
          <w:lang w:val="en-US"/>
        </w:rPr>
        <w:t xml:space="preserve"> variation in payments while maintaining incentives through bonuses.</w:t>
      </w:r>
      <w:r>
        <w:rPr>
          <w:lang w:val="en-US"/>
        </w:rPr>
        <w:t xml:space="preserve"> </w:t>
      </w:r>
      <w:r>
        <w:rPr>
          <w:lang w:val="en-US"/>
        </w:rPr>
        <w:fldChar w:fldCharType="begin"/>
      </w:r>
      <w:r>
        <w:rPr>
          <w:lang w:val="en-US"/>
        </w:rPr>
        <w:instrText xml:space="preserve"> ADDIN ZOTERO_ITEM CSL_CITATION {"citationID":"Hxp1gmi1","properties":{"formattedCitation":"(Johnsen et al., 2019)","plainCitation":"(Johnsen et al., 2019)","dontUpdate":true,"noteIndex":0},"citationItems":[{"id":61519,"uris":["http://zotero.org/users/14812719/items/92HHXLZ7"],"itemData":{"id":61519,"type":"article-journal","abstract":"ABSTRACT\n            We investigate the capacity investment decision of a supplier who produces a critical component for a buyer. An incentive conflict is present, because the buyer possesses private forecast information about end customer demand. We use laboratory experiments to test the performance of nonlinear capacity reservation contracts offered by the supplier. We show that both bounded rationality and fairness preferences consistently lead to buyer contract choices that harm supplier performance and overall supply chain performance. We therefore examine several capacity reservation contracts that take into account the buyer's inability to maximize utility (bounded rationality) and/or the buyer's motives (inequity aversion). We find that considering these behavioral aspects in contract design enhances supply chain performance.","container-title":"Decision Sciences","DOI":"10.1111/deci.12352","ISSN":"0011-7315, 1540-5915","issue":"4","journalAbbreviation":"Decision Sciences","language":"en","page":"786-815","source":"DOI.org (Crossref)","title":"Behavioral Contract Design Under Asymmetric Forecast Information","volume":"50","author":[{"family":"Johnsen","given":"Lennart C."},{"family":"Voigt","given":"Guido"},{"family":"Corbett","given":"Charles J."}],"issued":{"date-parts":[["2019",8]]}}}],"schema":"https://github.com/citation-style-language/schema/raw/master/csl-citation.json"} </w:instrText>
      </w:r>
      <w:r>
        <w:rPr>
          <w:lang w:val="en-US"/>
        </w:rPr>
        <w:fldChar w:fldCharType="separate"/>
      </w:r>
      <w:r w:rsidRPr="00982A12">
        <w:rPr>
          <w:lang w:val="en-US"/>
        </w:rPr>
        <w:t xml:space="preserve">Johnsen et al. </w:t>
      </w:r>
      <w:r>
        <w:rPr>
          <w:lang w:val="en-US"/>
        </w:rPr>
        <w:t>(</w:t>
      </w:r>
      <w:r w:rsidRPr="00982A12">
        <w:rPr>
          <w:lang w:val="en-US"/>
        </w:rPr>
        <w:t>2019)</w:t>
      </w:r>
      <w:r>
        <w:rPr>
          <w:lang w:val="en-US"/>
        </w:rPr>
        <w:fldChar w:fldCharType="end"/>
      </w:r>
      <w:r>
        <w:rPr>
          <w:lang w:val="en-US"/>
        </w:rPr>
        <w:t xml:space="preserve"> investigate the </w:t>
      </w:r>
      <w:proofErr w:type="spellStart"/>
      <w:r>
        <w:rPr>
          <w:lang w:val="en-US"/>
        </w:rPr>
        <w:t>behavioural</w:t>
      </w:r>
      <w:proofErr w:type="spellEnd"/>
      <w:r>
        <w:rPr>
          <w:lang w:val="en-US"/>
        </w:rPr>
        <w:t xml:space="preserve"> adjustment of non-linear capacity reservation</w:t>
      </w:r>
      <w:r w:rsidRPr="00B5380E">
        <w:rPr>
          <w:lang w:val="en-US"/>
        </w:rPr>
        <w:t xml:space="preserve"> contracts</w:t>
      </w:r>
      <w:r>
        <w:rPr>
          <w:lang w:val="en-US"/>
        </w:rPr>
        <w:t xml:space="preserve"> </w:t>
      </w:r>
      <w:r w:rsidRPr="00B5380E">
        <w:rPr>
          <w:lang w:val="en-US"/>
        </w:rPr>
        <w:t>in a supply chain with asymmetric demand information</w:t>
      </w:r>
      <w:r>
        <w:rPr>
          <w:lang w:val="en-US"/>
        </w:rPr>
        <w:t>. The authors show that</w:t>
      </w:r>
      <w:r w:rsidRPr="00B5380E">
        <w:rPr>
          <w:lang w:val="en-US"/>
        </w:rPr>
        <w:t xml:space="preserve"> behaviorally adapted </w:t>
      </w:r>
      <w:r w:rsidRPr="0006671E">
        <w:rPr>
          <w:lang w:val="en-US"/>
        </w:rPr>
        <w:t>contracts that account for bounded rationality</w:t>
      </w:r>
      <w:r>
        <w:rPr>
          <w:lang w:val="en-US"/>
        </w:rPr>
        <w:t xml:space="preserve"> (i.e. when</w:t>
      </w:r>
      <w:r w:rsidRPr="00FC0B11">
        <w:rPr>
          <w:lang w:val="en-US"/>
        </w:rPr>
        <w:t xml:space="preserve"> people rely on simplified models, rules of thumb, or heuristics to make choices that are “good enough” under the circumstances</w:t>
      </w:r>
      <w:r>
        <w:rPr>
          <w:lang w:val="en-US"/>
        </w:rPr>
        <w:t>)</w:t>
      </w:r>
      <w:r w:rsidRPr="0006671E">
        <w:rPr>
          <w:lang w:val="en-US"/>
        </w:rPr>
        <w:t xml:space="preserve"> and fairness preferences</w:t>
      </w:r>
      <w:r>
        <w:rPr>
          <w:lang w:val="en-US"/>
        </w:rPr>
        <w:t xml:space="preserve"> (also called inequity aversion, r</w:t>
      </w:r>
      <w:r w:rsidRPr="00382DE6">
        <w:rPr>
          <w:lang w:val="en-US"/>
        </w:rPr>
        <w:t>efers to a desire for equitable or just outcomes in social or economic interactions</w:t>
      </w:r>
      <w:r>
        <w:rPr>
          <w:lang w:val="en-US"/>
        </w:rPr>
        <w:t>)</w:t>
      </w:r>
      <w:r w:rsidRPr="0006671E">
        <w:rPr>
          <w:lang w:val="en-US"/>
        </w:rPr>
        <w:t xml:space="preserve"> can </w:t>
      </w:r>
      <w:r>
        <w:rPr>
          <w:lang w:val="en-US"/>
        </w:rPr>
        <w:t>improve</w:t>
      </w:r>
      <w:r w:rsidRPr="0006671E">
        <w:rPr>
          <w:lang w:val="en-US"/>
        </w:rPr>
        <w:t xml:space="preserve"> supply chain </w:t>
      </w:r>
      <w:r>
        <w:rPr>
          <w:lang w:val="en-US"/>
        </w:rPr>
        <w:t>efficiency</w:t>
      </w:r>
      <w:r w:rsidRPr="0006671E">
        <w:rPr>
          <w:lang w:val="en-US"/>
        </w:rPr>
        <w:t>.</w:t>
      </w:r>
      <w:r>
        <w:rPr>
          <w:lang w:val="en-US"/>
        </w:rPr>
        <w:t xml:space="preserve"> Finally, in the field of Agricultural Economics, crop insurance contracts design have been behaviorally adjusted to better align with farmers’ preferences under CPT </w:t>
      </w:r>
      <w:r>
        <w:rPr>
          <w:lang w:val="en-US"/>
        </w:rPr>
        <w:fldChar w:fldCharType="begin"/>
      </w:r>
      <w:r>
        <w:rPr>
          <w:lang w:val="en-US"/>
        </w:rPr>
        <w:instrText xml:space="preserve"> ADDIN ZOTERO_ITEM CSL_CITATION {"citationID":"c12qucd4","properties":{"formattedCitation":"(Dalhaus et al., 2020)","plainCitation":"(Dalhaus et al., 2020)","noteIndex":0},"citationItems":[{"id":61535,"uris":["http://zotero.org/users/14812719/items/EZ9IZJWH"],"itemData":{"id":61535,"type":"article-journal","container-title":"PLOS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lang w:val="en-US"/>
        </w:rPr>
        <w:fldChar w:fldCharType="separate"/>
      </w:r>
      <w:r w:rsidRPr="005B5BE7">
        <w:rPr>
          <w:lang w:val="en-US"/>
        </w:rPr>
        <w:t>(Dalhaus et al., 2020)</w:t>
      </w:r>
      <w:r>
        <w:rPr>
          <w:lang w:val="en-US"/>
        </w:rPr>
        <w:fldChar w:fldCharType="end"/>
      </w:r>
      <w:r>
        <w:rPr>
          <w:lang w:val="en-US"/>
        </w:rPr>
        <w:t>. The authors find that a multi-year contract with premium payments only in years of no crop losses (or at the end of the contract if none) can increase an insurance’s prospect value under narrow framing.</w:t>
      </w:r>
    </w:p>
    <w:p w14:paraId="7E823271" w14:textId="77777777" w:rsidR="00A55553" w:rsidRDefault="00A55553" w:rsidP="00DC2D06">
      <w:pPr>
        <w:jc w:val="both"/>
        <w:rPr>
          <w:lang w:val="en-US"/>
        </w:rPr>
      </w:pPr>
    </w:p>
    <w:p w14:paraId="1CDC9F3D" w14:textId="77777777" w:rsidR="00A55553" w:rsidRPr="0010574E" w:rsidRDefault="00A55553" w:rsidP="00A55553">
      <w:pPr>
        <w:jc w:val="both"/>
        <w:rPr>
          <w:i/>
          <w:iCs/>
          <w:lang w:val="en-US"/>
        </w:rPr>
      </w:pPr>
      <w:r w:rsidRPr="0010574E">
        <w:rPr>
          <w:i/>
          <w:iCs/>
          <w:lang w:val="en-US"/>
        </w:rPr>
        <w:t>Lit on forward contract</w:t>
      </w:r>
    </w:p>
    <w:p w14:paraId="56D5B89B" w14:textId="77777777" w:rsidR="00A55553" w:rsidRDefault="00A55553" w:rsidP="00A55553">
      <w:pPr>
        <w:jc w:val="both"/>
        <w:rPr>
          <w:lang w:val="en-US"/>
        </w:rPr>
      </w:pPr>
      <w:r>
        <w:rPr>
          <w:lang w:val="en-US"/>
        </w:rPr>
        <w:t xml:space="preserve">The usage of forward contract in the literature has been mainly investigated under an EUT framework that considers farmers risk preferences </w:t>
      </w:r>
      <w:r>
        <w:rPr>
          <w:lang w:val="en-US"/>
        </w:rPr>
        <w:fldChar w:fldCharType="begin"/>
      </w:r>
      <w:r>
        <w:rPr>
          <w:lang w:val="en-US"/>
        </w:rPr>
        <w:instrText xml:space="preserve"> ADDIN ZOTERO_ITEM CSL_CITATION {"citationID":"vbyvvv6w","properties":{"unsorted":true,"formattedCitation":"(Grant, 1985; Parcel &amp; Langemeijer, 1997; Gilbert et al., 2006; Bielza et al., 2007; Loy &amp; Pieniadz, 2009)","plainCitation":"(Grant, 1985; Parcel &amp; Langemeijer, 1997; Gilbert et al., 2006; Bielza et al., 2007; Loy &amp; Pieniadz, 2009)","noteIndex":0},"citationItems":[{"id":116984,"uris":["http://zotero.org/groups/5760356/items/TZI8LT5C"],"itemData":{"id":116984,"type":"article-journal","abstract":"Expected utility maximizing farmers facing just price risk or both price risk and quantity risk behave similady in the absence of a forward market. If forward contracting is possible, that is not true because variation in the commodity price affects a farmer's wealth through the value of his futures position, the value of his output and through the covariance between price and output. This covariance affects a farmer' s optimal scale of production, his optimal forward position and the interrelationship between the scale of production and forward trading.","container-title":"American Journal of Agricultural Economics","DOI":"10.2307/1241086","language":"en","page":"630-635","title":"Theory of the Firm with Joint Price and Output Risk and a Forward Market","volume":"67","author":[{"family":"Grant","given":"Dwight"}],"issued":{"date-parts":[["1985"]]}}},{"id":116999,"uris":["http://zotero.org/groups/5760356/items/K3PWZ9FY"],"itemData":{"id":116999,"type":"article-journal","abstract":"The purpose of this study is to determine the minimum level of contract payments required to produce hogs under a production contract. Required payments needed for contract growing to be preferred to independent production for the average‐profit, slightly risk‐averse, feeder‐pig producer and for the high‐profit, moderately to strongly risk‐averse, feeder‐pig producer are found to be similar to those currently offered by contractors. Feeder‐pig finishers with average profit levels would either have to be strongly risk‐averse or expect economic profits to fall to zero to prefer contracting over independent production. Low‐profit feeder‐pig finishers who are moderately to strongly risk‐averse would prefer contracting. Feeder‐pig finishers who historically have experienced above‐average profits would require payments substantially above current contract rates to prefer contracting.\n          , \n            L'objet de cette étude est de déterminer le seuil de paiement contractuel requis pour inciter les producteurs de porcs à passer des contrats de production. Nous avons constaté que les niveaux de paiement actuellement affert par les contracteurs correspondent aux niveaux requis pour rendre la production sous‐contrat référable à la production libre, tant aux yeux du naisseur de porcs d'engraissement qui recherche un profit moyen sans trop de souci pour les risques que de celui qui espère un niveau de profitélevé avec le moins de risques possibles. Quant aux engraisseurs à niveau de profit moyen, il faudrait soit qu'il soit complètement ennemi du risque ou qu'ils envisagent que leur rentabilité puisse descendre à zéro pour les inciter à produire ous‐contrat. En revanche les engraisseurs à faible niveau de rentabilité et modérément à fortement soucieux des risques préféreraient la production sous‐contrat. Les engraisseurs qui auparavant ont enregistré des bénéfices supérieurs à la moyenne auraient besoin de paiements contractuels sensiblement supérieurs aux taux en vigueur pour les inciter à adopter la","container-title":"Canadian Journal of Agricultural Economics/Revue canadienne d'agroeconomie","DOI":"10.1111/j.1744-7976.1997.tb00211.x","ISSN":"0008-3976, 1744-7976","issue":"3","journalAbbreviation":"Canadian J Agri Economics","language":"en","license":"http://onlinelibrary.wiley.com/termsAndConditions#vor","page":"317-327","source":"DOI.org (Crossref)","title":"Feeder‐pig Producers and Finishers: Who Should Contract?","title-short":"Feeder‐pig Producers and Finishers","volume":"45","author":[{"family":"Parcel","given":"Joseph L."},{"family":"Langemeijer","given":"Michael R."}],"issued":{"date-parts":[["1997",11]]}}},{"id":117394,"uris":["http://zotero.org/groups/5760356/items/YRSM9HRY"],"itemData":{"id":117394,"type":"article-journal","abstract":"The impact of skewness in the hedger's objective function is tested using a model of hedging derived from a third-order Taylor Series approximation of expected utility. To determine the effect of price skewness upon hedging and speculation, analytical results are derived using an example of cotton storage. Findings suggest that when forward risk premiums and price skewness in the spot asset have opposite signs, speculation increases relative to the mean-variance model. When the signs are identical, speculation will decrease, contradicting findings of mean-variance models. (c) 2006 Wiley Periodicals, Inc.","container-title":"Journal of Futures Markets","DOI":"10.1002/fut.20201","ISSN":"0270-7314","issue":"5","language":"English","page":"503-520","title":"The impact of skewness in the hedging decision","volume":"26","author":[{"family":"Gilbert","given":"S"},{"family":"Jones","given":"SK"},{"family":"Morris","given":"GH"}],"issued":{"date-parts":[["2006",5]]}}},{"id":117244,"uris":["http://zotero.org/groups/5760356/items/A2Z47VJM"],"itemData":{"id":117244,"type":"article-journal","abstract":"This article offers a comprehensive analysis of the problem of choosing between alternative market risk management instruments. We model farmers' behavior to optimize the certainty equivalent, formulated by a mean-variance model, by combining instruments with and without basis risk. Results are expressed as the demands for hedging with futures, forward contracts and insurance. Theoretical results are applied to a selection of Spanish producers of fresh potatoes, a sector that is exposed to significant market risks. Amsterdam's Euronext provides potato futures prices, and the recently launched revenue insurance in Spain provides the example for price insurance. Three conclusions summarize the article's main findings. First, we show that Spanish potato revenue insurance subsidies are a factor that determines the instrument rankings and choice. Second, the efficiency of insurance subsidies is generally low. Finally, the Amsterdam potato futures market does not provide a cost-effective means to manage price risks for Spanish fresh potato growers. © 2007 International Association of Agricultural Economists.","container-title":"Agricultural Economics","DOI":"10.1111/j.1574-0862.2007.00177.x","issue":"1","page":"67-78","title":"Finding optimal price risk management instruments: The case of the Spanish potato sector","volume":"36","author":[{"family":"Bielza","given":"M."},{"family":"Garrido","given":"A."},{"family":"Sumpsi","given":"J.M."}],"issued":{"date-parts":[["2007"]]}}},{"id":116992,"uris":["http://zotero.org/groups/5760356/items/7639KVN8"],"itemData":{"id":116992,"type":"article-journal","abstract":"Increasing grain price volatility over the last year has revived the discussion on optimal marketing strategies. Various models of optimal grain marketing have been proposed and simulated in the literature. In this study, an overview of these models is presented and critical aspects are discussed. Optimal strategies are then applied to the wheat market in Germany and Poland. The results show that gains from optimal marketing are rather small and uncertain in the real world, indicating that scientific assistance may be of limited importance when using only publicly available information. However, an understanding of optimization and price-generating processes is likely to improve farmers’ decisions – in particular when additional (private) information to improve price forecasts is available.","container-title":"Outlook on Agriculture","DOI":"10.5367/000000009787762761","ISSN":"0030-7270, 2043-6866","issue":"1","journalAbbreviation":"Outlook Agric","language":"en","license":"https://journals.sagepub.com/page/policies/text-and-data-mining-license","page":"47-54","source":"DOI.org (Crossref)","title":"Optimal Grain Marketing Revisited: A German and Polish Perspective","title-short":"Optimal Grain Marketing Revisited","volume":"38","author":[{"family":"Loy","given":"Jens-Peter"},{"family":"Pieniadz","given":"Agata"}],"issued":{"date-parts":[["2009",3]]}}}],"schema":"https://github.com/citation-style-language/schema/raw/master/csl-citation.json"} </w:instrText>
      </w:r>
      <w:r>
        <w:rPr>
          <w:lang w:val="en-US"/>
        </w:rPr>
        <w:fldChar w:fldCharType="separate"/>
      </w:r>
      <w:r w:rsidRPr="00FA3A80">
        <w:rPr>
          <w:lang w:val="en-GB"/>
        </w:rPr>
        <w:t>(</w:t>
      </w:r>
      <w:r>
        <w:rPr>
          <w:lang w:val="en-GB"/>
        </w:rPr>
        <w:t xml:space="preserve">e.g., </w:t>
      </w:r>
      <w:r w:rsidRPr="00FA3A80">
        <w:rPr>
          <w:lang w:val="en-GB"/>
        </w:rPr>
        <w:t>Grant, 1985; Parcel &amp; Langemeijer, 1997; Gilbert et al., 2006; Bielza et al., 2007; Loy &amp; Pieniadz, 2009)</w:t>
      </w:r>
      <w:r>
        <w:rPr>
          <w:lang w:val="en-US"/>
        </w:rPr>
        <w:fldChar w:fldCharType="end"/>
      </w:r>
      <w:r>
        <w:rPr>
          <w:lang w:val="en-US"/>
        </w:rPr>
        <w:t xml:space="preserve"> and experimental evidence suggest that risk attitudes</w:t>
      </w:r>
    </w:p>
    <w:p w14:paraId="6017FD28" w14:textId="77777777" w:rsidR="00A55553" w:rsidRDefault="00A55553" w:rsidP="00A55553">
      <w:pPr>
        <w:jc w:val="both"/>
        <w:rPr>
          <w:lang w:val="en-US"/>
        </w:rPr>
      </w:pPr>
      <w:r>
        <w:rPr>
          <w:lang w:val="en-US"/>
        </w:rPr>
        <w:t xml:space="preserve"> </w:t>
      </w:r>
    </w:p>
    <w:p w14:paraId="1357C21F" w14:textId="77777777" w:rsidR="00A55553" w:rsidRDefault="00A55553" w:rsidP="00A55553">
      <w:pPr>
        <w:jc w:val="both"/>
        <w:rPr>
          <w:lang w:val="en-US"/>
        </w:rPr>
      </w:pPr>
      <w:r>
        <w:rPr>
          <w:lang w:val="en-US"/>
        </w:rPr>
        <w:t xml:space="preserve">The literature on forward contracting in agriculture suggests that network influences have positive effect on adoption decisions (Spada et al., n.d.). In particular, recommendation from extension or advisory services </w:t>
      </w:r>
      <w:r>
        <w:rPr>
          <w:lang w:val="en-US"/>
        </w:rPr>
        <w:fldChar w:fldCharType="begin"/>
      </w:r>
      <w:r>
        <w:rPr>
          <w:lang w:val="en-US"/>
        </w:rPr>
        <w:instrText xml:space="preserve"> ADDIN ZOTERO_ITEM CSL_CITATION {"citationID":"84vL17xO","properties":{"unsorted":true,"formattedCitation":"(Mishra &amp; Perry, 1999; Katchova &amp; Miranda, 2004; Davis et al., 2005; Isengildina et al., 2006)","plainCitation":"(Mishra &amp; Perry, 1999; Katchova &amp; Miranda, 2004; Davis et al., 2005; Isengildina et al., 2006)","noteIndex":0},"citationItems":[{"id":126940,"uris":["http://zotero.org/users/14812719/items/2NY3GJJ5"],"itemData":{"id":126940,"type":"article-journal","abstract":"Forward contracting of inputs in production agriculture is becoming increasingly important as more farmers attempt to manage risk. Using a logit model and farmlevel data, this analysis estimates the effect of factors on the probability of a producer using forward input contracting. Results suggest that use of contracting in selling of crops and livestock, technology, farm size, geographic location, participation in government commodity programs, and use of extension services are important factors affecting the choice to forward contract inputs.","container-title":"Journal of Agribusiness","language":"en","page":"77-91","source":"Zotero","title":"Forward Contracting of Inputs: A Farm-Level Analysis","volume":"17","author":[{"family":"Mishra","given":"Ashok K"},{"family":"Perry","given":"Janet E"}],"issued":{"date-parts":[["1999"]]}}},{"id":126752,"uris":["http://zotero.org/groups/5760356/items/8GA29CFF"],"itemData":{"id":126752,"type":"article-journal","abstract":"[We examine how farm characteristics affect marketing contract decisions. We relax the restrictive assumptions of Tobit, Poisson, and multinomial logit models and consider the quantity, frequency, and contract type decisions conditional on, rather than jointly with, the contract adoption decision. In contrast to earlier studies on marketing contract decisions, we estimate a two-step econometric model using Agricultural Resource Management Study data and find that farm characteristics affecting decisions to adopt marketing contracts differ from those affecting decisions regarding quantity, frequency, and contract type.]","container-title":"American Journal of Agricultural Economics","ISSN":"00029092, 14678276","issue":"1","note":"publisher: [Agricultural &amp; Applied Economics Association, Oxford University Press]","page":"88-102","title":"Two-Step Econometric Estimation of Farm Characteristics Affecting Marketing Contract Decisions","volume":"86","author":[{"family":"Katchova","given":"Ani L."},{"family":"Miranda","given":"Mario J."}],"issued":{"date-parts":[["2004"]]}}},{"id":64187,"uris":["http://zotero.org/users/14812719/items/67VGVFPP"],"itemData":{"id":64187,"type":"article-journal","abstract":"Forward pricing behavior of random samples of Indiana, Nebraska, and Mississippi crop producers was analyzed using Heckmanâ€™s two-step limited information maximum likelihood estimation procedure. Producers who forward priced during the 1995-1998 period generally expected to forward price in 1999 using similar techniques. Probit models were estimated for cash forward contracts and taking a direct position in futures or options separately and combined. Results provide limited support for the hypothesis that forward pricing should be analyzed as an adoption decision. Variables reflecting risk attitudes do affect the decision to use forward pricing, while variables to economic position affect the level of forward pricing.","container-title":"Journal of Agricultural and Applied Economics","DOI":"10.1017/S1074070800007161","journalAbbreviation":"Journal of Agricultural and Applied Economics","title":"Forward Pricing Behavior of Corn and Soybean Producers","volume":"37","author":[{"family":"Davis","given":"Todd"},{"family":"Patrick","given":"George"},{"family":"Coble","given":"Keith"},{"family":"Knight","given":"Thomas"},{"family":"Baquet","given":"Alan"}],"issued":{"date-parts":[["2005",2,1]]}}},{"id":126650,"uris":["http://zotero.org/groups/5760356/items/K79W4GZK"],"itemData":{"id":126650,"type":"article-journal","container-title":"Journal of International Food and Agribusiness Marketing","DOI":"10.1300/J047v18n03_05","issue":"3-4","page":"65-84","title":"U.S. crop farmers' use of Market Advisory Services","volume":"18","author":[{"family":"Isengildina","given":"O."},{"family":"Pennings","given":"J.M.E."},{"family":"Irwin","given":"S.H."},{"family":"Good","given":"D.L."}],"issued":{"date-parts":[["2006"]]}}}],"schema":"https://github.com/citation-style-language/schema/raw/master/csl-citation.json"} </w:instrText>
      </w:r>
      <w:r>
        <w:rPr>
          <w:lang w:val="en-US"/>
        </w:rPr>
        <w:fldChar w:fldCharType="separate"/>
      </w:r>
      <w:r w:rsidRPr="007E142F">
        <w:rPr>
          <w:lang w:val="en-GB"/>
        </w:rPr>
        <w:t>(Mishra &amp; Perry, 1999; Katchova &amp; Miranda, 2004; Davis et al., 2005; Isengildina et al., 2006)</w:t>
      </w:r>
      <w:r>
        <w:rPr>
          <w:lang w:val="en-US"/>
        </w:rPr>
        <w:fldChar w:fldCharType="end"/>
      </w:r>
      <w:r>
        <w:rPr>
          <w:lang w:val="en-US"/>
        </w:rPr>
        <w:t xml:space="preserve"> and from commodity buyers </w:t>
      </w:r>
      <w:r>
        <w:rPr>
          <w:lang w:val="en-US"/>
        </w:rPr>
        <w:fldChar w:fldCharType="begin"/>
      </w:r>
      <w:r>
        <w:rPr>
          <w:lang w:val="en-US"/>
        </w:rPr>
        <w:instrText xml:space="preserve"> ADDIN ZOTERO_ITEM CSL_CITATION {"citationID":"3jIVCJEl","properties":{"formattedCitation":"(Penone et al., 2024)","plainCitation":"(Penone et al., 2024)","noteIndex":0},"citationItems":[{"id":126703,"uris":["http://zotero.org/groups/5760356/items/XZX499VG"],"itemData":{"id":126703,"type":"article-journal","container-title":"Agricultural and Food Economics","DOI":"10.1186/s40100-024-00333-7","issue":"1","title":"Exploring farmers’ intention to adopt marketing contracts: empirical insights using the TOE framework","URL":"https://www.scopus.com/inward/record.uri?eid=2-s2.0-85209826384&amp;doi=10.1186%2fs40100-024-00333-7&amp;partnerID=40&amp;md5=0cfe48b80458ee5182497b913bc10a09","volume":"12","author":[{"family":"Penone","given":"C."},{"family":"Giampietri","given":"E."},{"family":"Trestini","given":"S."}],"issued":{"date-parts":[["2024"]]}}}],"schema":"https://github.com/citation-style-language/schema/raw/master/csl-citation.json"} </w:instrText>
      </w:r>
      <w:r>
        <w:rPr>
          <w:lang w:val="en-US"/>
        </w:rPr>
        <w:fldChar w:fldCharType="separate"/>
      </w:r>
      <w:r w:rsidRPr="00C7650B">
        <w:rPr>
          <w:lang w:val="en-US"/>
        </w:rPr>
        <w:t>(Penone et al., 2024)</w:t>
      </w:r>
      <w:r>
        <w:rPr>
          <w:lang w:val="en-US"/>
        </w:rPr>
        <w:fldChar w:fldCharType="end"/>
      </w:r>
      <w:r>
        <w:rPr>
          <w:lang w:val="en-US"/>
        </w:rPr>
        <w:t xml:space="preserve"> increase forward contracts adoption. Suggesting that forward contracting fertilizer with suppliers is </w:t>
      </w:r>
    </w:p>
    <w:p w14:paraId="28BEE9E4" w14:textId="77777777" w:rsidR="00A55553" w:rsidRDefault="00A55553" w:rsidP="00A55553">
      <w:pPr>
        <w:jc w:val="both"/>
        <w:rPr>
          <w:lang w:val="en-US"/>
        </w:rPr>
      </w:pPr>
    </w:p>
    <w:p w14:paraId="3F1FA65F" w14:textId="77777777" w:rsidR="00A55553" w:rsidRDefault="00A55553" w:rsidP="00A55553">
      <w:pPr>
        <w:jc w:val="both"/>
        <w:rPr>
          <w:lang w:val="en-US"/>
        </w:rPr>
      </w:pPr>
      <w:r>
        <w:rPr>
          <w:lang w:val="en-US"/>
        </w:rPr>
        <w:t>No evidence is present in the literature on loss aversion, uncertainty aversion, and time preferences (Spada et al., n.d.).</w:t>
      </w:r>
    </w:p>
    <w:p w14:paraId="1169FD87" w14:textId="77777777" w:rsidR="00DC2D06" w:rsidRDefault="00DC2D06" w:rsidP="00DC2D06">
      <w:pPr>
        <w:jc w:val="both"/>
        <w:rPr>
          <w:lang w:val="en-US"/>
        </w:rPr>
      </w:pPr>
    </w:p>
    <w:p w14:paraId="59BFB343" w14:textId="13CF3557" w:rsidR="00A55553" w:rsidRPr="00A55553" w:rsidRDefault="00A55553" w:rsidP="00DC2D06">
      <w:pPr>
        <w:jc w:val="both"/>
        <w:rPr>
          <w:i/>
          <w:iCs/>
          <w:lang w:val="en-US"/>
        </w:rPr>
      </w:pPr>
      <w:r>
        <w:rPr>
          <w:i/>
          <w:iCs/>
          <w:lang w:val="en-US"/>
        </w:rPr>
        <w:t>Literature on futures contracts</w:t>
      </w:r>
    </w:p>
    <w:p w14:paraId="2A2FD738" w14:textId="77777777" w:rsidR="00DC2D06" w:rsidRDefault="00DC2D06" w:rsidP="00DC2D06">
      <w:pPr>
        <w:jc w:val="both"/>
        <w:rPr>
          <w:lang w:val="en-US"/>
        </w:rPr>
      </w:pPr>
      <w:r>
        <w:rPr>
          <w:lang w:val="en-US"/>
        </w:rPr>
        <w:t xml:space="preserve">In the related literature on futures contracts adoption, it has been shown that loss aversion has a relatively small or no impact on hedging decisions </w:t>
      </w:r>
      <w:r>
        <w:rPr>
          <w:lang w:val="en-US"/>
        </w:rPr>
        <w:fldChar w:fldCharType="begin"/>
      </w:r>
      <w:r>
        <w:rPr>
          <w:lang w:val="en-US"/>
        </w:rPr>
        <w:instrText xml:space="preserve"> ADDIN ZOTERO_ITEM CSL_CITATION {"citationID":"MsLsCtfR","properties":{"formattedCitation":"(Lien, 2001; Mattos et al., 2008)","plainCitation":"(Lien, 2001; Mattos et al., 2008)","noteIndex":0},"citationItems":[{"id":116991,"uris":["http://zotero.org/groups/5760356/items/BX8IUT6D"],"itemData":{"id":116991,"type":"article-journal","abstract":"Abstract\n            This note examines the effect of loss aversion on the futures trading behavior of a short hedger. Using a modified constant‐absolute‐risk‐aversion utility function, I show that loss aversion has no effect in an unbiased futures market. It has different, predictable impacts when the futures market is in backwardation or contango. © 2001 John Wiley &amp; Sons, Inc. Jrl Fut Mark 21: 681–692, 2001","container-title":"Journal of Futures Markets","DOI":"10.1002/fut.1704","ISSN":"0270-7314, 1096-9934","issue":"7","journalAbbreviation":"Journal of Futures Markets","language":"en","license":"http://onlinelibrary.wiley.com/termsAndConditions#vor","page":"681-692","source":"DOI.org (Crossref)","title":"A Note on Loss Aversion and Futures Hedging","volume":"21","author":[{"family":"Lien","given":"Donald"}],"issued":{"date-parts":[["2001",7]]}}},{"id":116994,"uris":["http://zotero.org/groups/5760356/items/TYIXDR84"],"itemData":{"id":116994,"type":"article-journal","abstract":"We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235293">
        <w:rPr>
          <w:lang w:val="en-US"/>
        </w:rPr>
        <w:t>(Lien, 2001; Mattos et al., 2008)</w:t>
      </w:r>
      <w:r>
        <w:rPr>
          <w:lang w:val="en-US"/>
        </w:rPr>
        <w:fldChar w:fldCharType="end"/>
      </w:r>
      <w:r>
        <w:rPr>
          <w:lang w:val="en-US"/>
        </w:rPr>
        <w:t xml:space="preserve">. While other behavioral preferences incorporated in CPT seem to play a more prominent role such as probability weighting </w:t>
      </w:r>
      <w:r>
        <w:rPr>
          <w:lang w:val="en-US"/>
        </w:rPr>
        <w:fldChar w:fldCharType="begin"/>
      </w:r>
      <w:r>
        <w:rPr>
          <w:lang w:val="en-US"/>
        </w:rPr>
        <w:instrText xml:space="preserve"> ADDIN ZOTERO_ITEM CSL_CITATION {"citationID":"miRolsSt","properties":{"formattedCitation":"(Mattos et al., 2008)","plainCitation":"(Mattos et al., 2008)","noteIndex":0},"citationItems":[{"id":116994,"uris":["http://zotero.org/groups/5760356/items/TYIXDR84"],"itemData":{"id":116994,"type":"article-journal","abstract":"We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6E1CD3">
        <w:rPr>
          <w:lang w:val="en-US"/>
        </w:rPr>
        <w:t>(Mattos et al., 2008)</w:t>
      </w:r>
      <w:r>
        <w:rPr>
          <w:lang w:val="en-US"/>
        </w:rPr>
        <w:fldChar w:fldCharType="end"/>
      </w:r>
      <w:r>
        <w:rPr>
          <w:lang w:val="en-US"/>
        </w:rPr>
        <w:t xml:space="preserve"> and reference dependence </w:t>
      </w:r>
      <w:r>
        <w:rPr>
          <w:lang w:val="en-US"/>
        </w:rPr>
        <w:fldChar w:fldCharType="begin"/>
      </w:r>
      <w:r>
        <w:rPr>
          <w:lang w:val="en-US"/>
        </w:rPr>
        <w:instrText xml:space="preserve"> ADDIN ZOTERO_ITEM CSL_CITATION {"citationID":"OCcmZQkr","properties":{"formattedCitation":"(Turvey &amp; Nayak, 2003)","plainCitation":"(Turvey &amp; Nayak, 2003)","noteIndex":0},"citationItems":[{"id":126796,"uris":["http://zotero.org/groups/5760356/items/2Q3LT7S3"],"itemData":{"id":126796,"type":"article-journal","abstract":"[This study presents a new approach to the optimal hedging decision. In some empirical studies, the standard hedge using the mean-variance hedge ratio provides results which are inconsistent with downside risk management. The new approach taken here relates the optimal hedge ratio to semivariance rather than variance. An algorithm to solve for the minimum semivariance hedge is presented, and applied to hedging Kansas City wheat and Texas steers.]","container-title":"Journal of Agricultural and Resource Economics","ISSN":"10685502","issue":"1","note":"publisher: Western Agricultural Economics Association","page":"100-115","title":"The Semivariance-Minimizing Hedge Ratio","volume":"28","author":[{"family":"Turvey","given":"Calum G."},{"family":"Nayak","given":"Govindaray"}],"issued":{"date-parts":[["2003"]]}}}],"schema":"https://github.com/citation-style-language/schema/raw/master/csl-citation.json"} </w:instrText>
      </w:r>
      <w:r>
        <w:rPr>
          <w:lang w:val="en-US"/>
        </w:rPr>
        <w:fldChar w:fldCharType="separate"/>
      </w:r>
      <w:r w:rsidRPr="00D47028">
        <w:rPr>
          <w:lang w:val="en-US"/>
        </w:rPr>
        <w:t>(Turvey &amp; Nayak, 2003)</w:t>
      </w:r>
      <w:r>
        <w:rPr>
          <w:lang w:val="en-US"/>
        </w:rPr>
        <w:fldChar w:fldCharType="end"/>
      </w:r>
      <w:r>
        <w:rPr>
          <w:lang w:val="en-US"/>
        </w:rPr>
        <w:t>.</w:t>
      </w:r>
    </w:p>
    <w:p w14:paraId="52C8AD70" w14:textId="77777777" w:rsidR="00B800EF" w:rsidRDefault="00B800EF" w:rsidP="00B800EF">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9"/>
        <w:gridCol w:w="1636"/>
        <w:gridCol w:w="1942"/>
        <w:gridCol w:w="2130"/>
        <w:gridCol w:w="2193"/>
      </w:tblGrid>
      <w:tr w:rsidR="00742B60" w:rsidRPr="00235293" w14:paraId="37CAADB6" w14:textId="77777777" w:rsidTr="00845A4B">
        <w:tc>
          <w:tcPr>
            <w:tcW w:w="1477" w:type="dxa"/>
            <w:tcBorders>
              <w:top w:val="single" w:sz="4" w:space="0" w:color="auto"/>
              <w:bottom w:val="single" w:sz="4" w:space="0" w:color="auto"/>
            </w:tcBorders>
          </w:tcPr>
          <w:p w14:paraId="6C5225A8" w14:textId="77777777" w:rsidR="00742B60" w:rsidRPr="004C5971" w:rsidRDefault="00742B60" w:rsidP="00845A4B">
            <w:pPr>
              <w:rPr>
                <w:b/>
                <w:bCs/>
                <w:sz w:val="18"/>
                <w:szCs w:val="16"/>
                <w:lang w:val="en-US"/>
              </w:rPr>
            </w:pPr>
            <w:r w:rsidRPr="004C5971">
              <w:rPr>
                <w:b/>
                <w:bCs/>
                <w:sz w:val="18"/>
                <w:szCs w:val="16"/>
                <w:lang w:val="en-US"/>
              </w:rPr>
              <w:t xml:space="preserve">Parameters </w:t>
            </w:r>
          </w:p>
        </w:tc>
        <w:tc>
          <w:tcPr>
            <w:tcW w:w="1688" w:type="dxa"/>
            <w:tcBorders>
              <w:top w:val="single" w:sz="4" w:space="0" w:color="auto"/>
              <w:bottom w:val="single" w:sz="4" w:space="0" w:color="auto"/>
            </w:tcBorders>
          </w:tcPr>
          <w:p w14:paraId="267B8CA1" w14:textId="77777777" w:rsidR="00742B60" w:rsidRPr="004C5971" w:rsidRDefault="00742B60" w:rsidP="00845A4B">
            <w:pPr>
              <w:rPr>
                <w:b/>
                <w:bCs/>
                <w:sz w:val="18"/>
                <w:szCs w:val="16"/>
                <w:lang w:val="en-US"/>
              </w:rPr>
            </w:pPr>
            <w:r>
              <w:rPr>
                <w:b/>
                <w:bCs/>
                <w:sz w:val="18"/>
                <w:szCs w:val="16"/>
                <w:lang w:val="en-US"/>
              </w:rPr>
              <w:t xml:space="preserve">Spot price </w:t>
            </w:r>
          </w:p>
        </w:tc>
        <w:tc>
          <w:tcPr>
            <w:tcW w:w="1984" w:type="dxa"/>
            <w:tcBorders>
              <w:top w:val="single" w:sz="4" w:space="0" w:color="auto"/>
              <w:bottom w:val="single" w:sz="4" w:space="0" w:color="auto"/>
            </w:tcBorders>
          </w:tcPr>
          <w:p w14:paraId="6CCEB3DC" w14:textId="77777777" w:rsidR="00742B60" w:rsidRPr="004C5971" w:rsidRDefault="00742B60" w:rsidP="00845A4B">
            <w:pPr>
              <w:rPr>
                <w:b/>
                <w:bCs/>
                <w:sz w:val="18"/>
                <w:szCs w:val="16"/>
                <w:lang w:val="en-US"/>
              </w:rPr>
            </w:pPr>
            <w:r w:rsidRPr="004C5971">
              <w:rPr>
                <w:b/>
                <w:bCs/>
                <w:sz w:val="18"/>
                <w:szCs w:val="16"/>
                <w:lang w:val="en-US"/>
              </w:rPr>
              <w:t>Normal forward contract</w:t>
            </w:r>
          </w:p>
        </w:tc>
        <w:tc>
          <w:tcPr>
            <w:tcW w:w="2181" w:type="dxa"/>
            <w:tcBorders>
              <w:top w:val="single" w:sz="4" w:space="0" w:color="auto"/>
              <w:bottom w:val="single" w:sz="4" w:space="0" w:color="auto"/>
            </w:tcBorders>
          </w:tcPr>
          <w:p w14:paraId="50D6E1AD" w14:textId="77777777" w:rsidR="00742B60" w:rsidRPr="004C5971" w:rsidRDefault="00742B60" w:rsidP="00845A4B">
            <w:pPr>
              <w:rPr>
                <w:b/>
                <w:bCs/>
                <w:sz w:val="18"/>
                <w:szCs w:val="16"/>
                <w:lang w:val="en-US"/>
              </w:rPr>
            </w:pPr>
            <w:r w:rsidRPr="004C5971">
              <w:rPr>
                <w:b/>
                <w:bCs/>
                <w:sz w:val="18"/>
                <w:szCs w:val="16"/>
                <w:lang w:val="en-US"/>
              </w:rPr>
              <w:t xml:space="preserve">Behavioral Forward Contract with price ceiling </w:t>
            </w:r>
          </w:p>
        </w:tc>
        <w:tc>
          <w:tcPr>
            <w:tcW w:w="2246" w:type="dxa"/>
            <w:tcBorders>
              <w:top w:val="single" w:sz="4" w:space="0" w:color="auto"/>
              <w:bottom w:val="single" w:sz="4" w:space="0" w:color="auto"/>
            </w:tcBorders>
          </w:tcPr>
          <w:p w14:paraId="5E9C9345" w14:textId="77777777" w:rsidR="00742B60" w:rsidRPr="004C5971" w:rsidRDefault="00742B60" w:rsidP="00845A4B">
            <w:pPr>
              <w:rPr>
                <w:b/>
                <w:bCs/>
                <w:sz w:val="18"/>
                <w:szCs w:val="16"/>
                <w:lang w:val="en-US"/>
              </w:rPr>
            </w:pPr>
            <w:r w:rsidRPr="004C5971">
              <w:rPr>
                <w:b/>
                <w:bCs/>
                <w:sz w:val="18"/>
                <w:szCs w:val="16"/>
                <w:lang w:val="en-US"/>
              </w:rPr>
              <w:t>Behavioral “Insurance-like” contract</w:t>
            </w:r>
          </w:p>
        </w:tc>
      </w:tr>
      <w:tr w:rsidR="00742B60" w:rsidRPr="00235293" w14:paraId="5C6D34BD" w14:textId="77777777" w:rsidTr="00845A4B">
        <w:tc>
          <w:tcPr>
            <w:tcW w:w="1477" w:type="dxa"/>
          </w:tcPr>
          <w:p w14:paraId="7576EB51" w14:textId="77777777" w:rsidR="00742B60" w:rsidRPr="004C5971" w:rsidRDefault="00742B60" w:rsidP="00845A4B">
            <w:pPr>
              <w:rPr>
                <w:i/>
                <w:iCs/>
                <w:sz w:val="18"/>
                <w:szCs w:val="16"/>
                <w:lang w:val="en-US"/>
              </w:rPr>
            </w:pPr>
            <w:r w:rsidRPr="004C5971">
              <w:rPr>
                <w:i/>
                <w:iCs/>
                <w:sz w:val="18"/>
                <w:szCs w:val="16"/>
                <w:lang w:val="en-US"/>
              </w:rPr>
              <w:t>Quantity</w:t>
            </w:r>
          </w:p>
        </w:tc>
        <w:tc>
          <w:tcPr>
            <w:tcW w:w="1688" w:type="dxa"/>
          </w:tcPr>
          <w:p w14:paraId="6E2E7836" w14:textId="77777777" w:rsidR="00742B60" w:rsidRPr="004C5971" w:rsidRDefault="00742B60" w:rsidP="00845A4B">
            <w:pPr>
              <w:rPr>
                <w:sz w:val="18"/>
                <w:szCs w:val="16"/>
                <w:lang w:val="en-US"/>
              </w:rPr>
            </w:pPr>
          </w:p>
        </w:tc>
        <w:tc>
          <w:tcPr>
            <w:tcW w:w="1984" w:type="dxa"/>
          </w:tcPr>
          <w:p w14:paraId="07C69E24"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69AD7B8E" w14:textId="77777777" w:rsidR="00742B60" w:rsidRPr="00E549C9" w:rsidRDefault="00742B60" w:rsidP="00845A4B">
            <w:pPr>
              <w:rPr>
                <w:sz w:val="18"/>
                <w:szCs w:val="16"/>
                <w:lang w:val="en-US"/>
              </w:rPr>
            </w:pPr>
            <w:r w:rsidRPr="00E549C9">
              <w:rPr>
                <w:sz w:val="18"/>
                <w:szCs w:val="16"/>
                <w:lang w:val="en-US"/>
              </w:rPr>
              <w:t xml:space="preserve">Fixed </w:t>
            </w:r>
          </w:p>
        </w:tc>
        <w:tc>
          <w:tcPr>
            <w:tcW w:w="2246" w:type="dxa"/>
          </w:tcPr>
          <w:p w14:paraId="3F69E46E" w14:textId="77777777" w:rsidR="00742B60" w:rsidRPr="00E549C9" w:rsidRDefault="00742B60" w:rsidP="00845A4B">
            <w:pPr>
              <w:rPr>
                <w:sz w:val="18"/>
                <w:szCs w:val="16"/>
                <w:lang w:val="en-US"/>
              </w:rPr>
            </w:pPr>
            <w:r w:rsidRPr="00E549C9">
              <w:rPr>
                <w:sz w:val="18"/>
                <w:szCs w:val="16"/>
                <w:lang w:val="en-US"/>
              </w:rPr>
              <w:t xml:space="preserve">Flexible </w:t>
            </w:r>
          </w:p>
        </w:tc>
      </w:tr>
      <w:tr w:rsidR="00742B60" w:rsidRPr="003C0C4F" w14:paraId="29C943D1" w14:textId="77777777" w:rsidTr="00845A4B">
        <w:tc>
          <w:tcPr>
            <w:tcW w:w="1477" w:type="dxa"/>
          </w:tcPr>
          <w:p w14:paraId="648D1C43" w14:textId="77777777" w:rsidR="00742B60" w:rsidRPr="004C5971" w:rsidRDefault="00742B60" w:rsidP="00845A4B">
            <w:pPr>
              <w:rPr>
                <w:i/>
                <w:iCs/>
                <w:sz w:val="18"/>
                <w:szCs w:val="16"/>
                <w:lang w:val="en-US"/>
              </w:rPr>
            </w:pPr>
            <w:r w:rsidRPr="004C5971">
              <w:rPr>
                <w:i/>
                <w:iCs/>
                <w:sz w:val="18"/>
                <w:szCs w:val="16"/>
                <w:lang w:val="en-US"/>
              </w:rPr>
              <w:t xml:space="preserve">Delivery </w:t>
            </w:r>
          </w:p>
        </w:tc>
        <w:tc>
          <w:tcPr>
            <w:tcW w:w="1688" w:type="dxa"/>
          </w:tcPr>
          <w:p w14:paraId="14821BDF" w14:textId="77777777" w:rsidR="00742B60" w:rsidRPr="00480942" w:rsidRDefault="00742B60" w:rsidP="00845A4B">
            <w:pPr>
              <w:rPr>
                <w:sz w:val="18"/>
                <w:szCs w:val="16"/>
                <w:lang w:val="en-US"/>
              </w:rPr>
            </w:pPr>
          </w:p>
        </w:tc>
        <w:tc>
          <w:tcPr>
            <w:tcW w:w="1984" w:type="dxa"/>
          </w:tcPr>
          <w:p w14:paraId="5E73F235" w14:textId="77777777" w:rsidR="00742B60" w:rsidRPr="004C5971" w:rsidRDefault="00742B60" w:rsidP="00845A4B">
            <w:pPr>
              <w:rPr>
                <w:sz w:val="18"/>
                <w:szCs w:val="16"/>
                <w:lang w:val="en-US"/>
              </w:rPr>
            </w:pPr>
            <w:r w:rsidRPr="00480942">
              <w:rPr>
                <w:sz w:val="18"/>
                <w:szCs w:val="16"/>
                <w:lang w:val="en-US"/>
              </w:rPr>
              <w:t>In bulk before planting season or staggered (reduce over-fertilization)</w:t>
            </w:r>
          </w:p>
        </w:tc>
        <w:tc>
          <w:tcPr>
            <w:tcW w:w="2181" w:type="dxa"/>
          </w:tcPr>
          <w:p w14:paraId="211FBDF0"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c>
          <w:tcPr>
            <w:tcW w:w="2246" w:type="dxa"/>
          </w:tcPr>
          <w:p w14:paraId="59C65C21"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r>
      <w:tr w:rsidR="00742B60" w:rsidRPr="003C0C4F" w14:paraId="1BF1D4AA" w14:textId="77777777" w:rsidTr="00845A4B">
        <w:tc>
          <w:tcPr>
            <w:tcW w:w="1477" w:type="dxa"/>
          </w:tcPr>
          <w:p w14:paraId="293B7CFF" w14:textId="77777777" w:rsidR="00742B60" w:rsidRPr="004C5971" w:rsidRDefault="00742B60" w:rsidP="00845A4B">
            <w:pPr>
              <w:rPr>
                <w:i/>
                <w:iCs/>
                <w:sz w:val="18"/>
                <w:szCs w:val="16"/>
                <w:lang w:val="en-US"/>
              </w:rPr>
            </w:pPr>
          </w:p>
        </w:tc>
        <w:tc>
          <w:tcPr>
            <w:tcW w:w="1688" w:type="dxa"/>
          </w:tcPr>
          <w:p w14:paraId="6A3714D5" w14:textId="77777777" w:rsidR="00742B60" w:rsidRPr="004C5971" w:rsidRDefault="00742B60" w:rsidP="00845A4B">
            <w:pPr>
              <w:rPr>
                <w:sz w:val="18"/>
                <w:szCs w:val="16"/>
                <w:lang w:val="en-US"/>
              </w:rPr>
            </w:pPr>
          </w:p>
        </w:tc>
        <w:tc>
          <w:tcPr>
            <w:tcW w:w="1984" w:type="dxa"/>
          </w:tcPr>
          <w:p w14:paraId="5E27132F" w14:textId="77777777" w:rsidR="00742B60" w:rsidRPr="004C5971" w:rsidRDefault="00742B60" w:rsidP="00845A4B">
            <w:pPr>
              <w:rPr>
                <w:sz w:val="18"/>
                <w:szCs w:val="16"/>
                <w:lang w:val="en-US"/>
              </w:rPr>
            </w:pPr>
          </w:p>
        </w:tc>
        <w:tc>
          <w:tcPr>
            <w:tcW w:w="2181" w:type="dxa"/>
          </w:tcPr>
          <w:p w14:paraId="1C17C9D1" w14:textId="77777777" w:rsidR="00742B60" w:rsidRPr="00E549C9" w:rsidRDefault="00742B60" w:rsidP="00845A4B">
            <w:pPr>
              <w:rPr>
                <w:sz w:val="18"/>
                <w:szCs w:val="16"/>
                <w:lang w:val="en-US"/>
              </w:rPr>
            </w:pPr>
          </w:p>
        </w:tc>
        <w:tc>
          <w:tcPr>
            <w:tcW w:w="2246" w:type="dxa"/>
          </w:tcPr>
          <w:p w14:paraId="57A6254D" w14:textId="77777777" w:rsidR="00742B60" w:rsidRPr="00E549C9" w:rsidRDefault="00742B60" w:rsidP="00845A4B">
            <w:pPr>
              <w:rPr>
                <w:sz w:val="18"/>
                <w:szCs w:val="16"/>
                <w:lang w:val="en-US"/>
              </w:rPr>
            </w:pPr>
          </w:p>
        </w:tc>
      </w:tr>
      <w:tr w:rsidR="00742B60" w:rsidRPr="003C0C4F" w14:paraId="3D43301F" w14:textId="77777777" w:rsidTr="00845A4B">
        <w:tc>
          <w:tcPr>
            <w:tcW w:w="1477" w:type="dxa"/>
          </w:tcPr>
          <w:p w14:paraId="2778417F" w14:textId="77777777" w:rsidR="00742B60" w:rsidRPr="004C5971" w:rsidRDefault="00742B60" w:rsidP="00845A4B">
            <w:pPr>
              <w:rPr>
                <w:i/>
                <w:iCs/>
                <w:sz w:val="18"/>
                <w:szCs w:val="16"/>
                <w:lang w:val="en-US"/>
              </w:rPr>
            </w:pPr>
            <w:r>
              <w:rPr>
                <w:i/>
                <w:iCs/>
                <w:sz w:val="18"/>
                <w:szCs w:val="16"/>
                <w:lang w:val="en-US"/>
              </w:rPr>
              <w:t>Fertilizer cost</w:t>
            </w:r>
          </w:p>
        </w:tc>
        <w:tc>
          <w:tcPr>
            <w:tcW w:w="1688" w:type="dxa"/>
          </w:tcPr>
          <w:p w14:paraId="4B756068" w14:textId="77777777" w:rsidR="00742B60" w:rsidRPr="004C5971" w:rsidRDefault="00742B60" w:rsidP="00845A4B">
            <w:pPr>
              <w:rPr>
                <w:sz w:val="18"/>
                <w:szCs w:val="16"/>
                <w:lang w:val="en-US"/>
              </w:rPr>
            </w:pPr>
          </w:p>
        </w:tc>
        <w:tc>
          <w:tcPr>
            <w:tcW w:w="1984" w:type="dxa"/>
          </w:tcPr>
          <w:p w14:paraId="71004341"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32210DC6" w14:textId="77777777" w:rsidR="00742B60" w:rsidRPr="00E549C9" w:rsidRDefault="00742B60" w:rsidP="00845A4B">
            <w:pPr>
              <w:rPr>
                <w:sz w:val="18"/>
                <w:szCs w:val="16"/>
                <w:lang w:val="en-US"/>
              </w:rPr>
            </w:pPr>
            <w:r w:rsidRPr="00E549C9">
              <w:rPr>
                <w:sz w:val="18"/>
                <w:szCs w:val="16"/>
                <w:lang w:val="en-US"/>
              </w:rPr>
              <w:t xml:space="preserve">Range </w:t>
            </w:r>
          </w:p>
        </w:tc>
        <w:tc>
          <w:tcPr>
            <w:tcW w:w="2246" w:type="dxa"/>
          </w:tcPr>
          <w:p w14:paraId="391A33D4" w14:textId="77777777" w:rsidR="00742B60" w:rsidRPr="00E549C9" w:rsidRDefault="00742B60" w:rsidP="00845A4B">
            <w:pPr>
              <w:rPr>
                <w:sz w:val="18"/>
                <w:szCs w:val="16"/>
                <w:lang w:val="en-US"/>
              </w:rPr>
            </w:pPr>
            <w:r w:rsidRPr="00E549C9">
              <w:rPr>
                <w:sz w:val="18"/>
                <w:szCs w:val="16"/>
                <w:lang w:val="en-US"/>
              </w:rPr>
              <w:t>Market price if p &lt; cap</w:t>
            </w:r>
          </w:p>
        </w:tc>
      </w:tr>
      <w:tr w:rsidR="00742B60" w:rsidRPr="00235293" w14:paraId="43057FCB" w14:textId="77777777" w:rsidTr="00845A4B">
        <w:tc>
          <w:tcPr>
            <w:tcW w:w="1477" w:type="dxa"/>
          </w:tcPr>
          <w:p w14:paraId="5599E283" w14:textId="77777777" w:rsidR="00742B60" w:rsidRPr="004C5971" w:rsidRDefault="00742B60" w:rsidP="00845A4B">
            <w:pPr>
              <w:rPr>
                <w:i/>
                <w:iCs/>
                <w:sz w:val="18"/>
                <w:szCs w:val="16"/>
                <w:lang w:val="en-US"/>
              </w:rPr>
            </w:pPr>
            <w:r w:rsidRPr="004C5971">
              <w:rPr>
                <w:i/>
                <w:iCs/>
                <w:sz w:val="18"/>
                <w:szCs w:val="16"/>
                <w:lang w:val="en-US"/>
              </w:rPr>
              <w:lastRenderedPageBreak/>
              <w:t>Contract cost</w:t>
            </w:r>
          </w:p>
        </w:tc>
        <w:tc>
          <w:tcPr>
            <w:tcW w:w="1688" w:type="dxa"/>
          </w:tcPr>
          <w:p w14:paraId="0B939FD9" w14:textId="77777777" w:rsidR="00742B60" w:rsidRPr="004C5971" w:rsidRDefault="00742B60" w:rsidP="00845A4B">
            <w:pPr>
              <w:rPr>
                <w:sz w:val="18"/>
                <w:szCs w:val="16"/>
                <w:lang w:val="en-US"/>
              </w:rPr>
            </w:pPr>
            <w:r>
              <w:rPr>
                <w:sz w:val="18"/>
                <w:szCs w:val="16"/>
                <w:lang w:val="en-US"/>
              </w:rPr>
              <w:t>None</w:t>
            </w:r>
          </w:p>
        </w:tc>
        <w:tc>
          <w:tcPr>
            <w:tcW w:w="1984" w:type="dxa"/>
          </w:tcPr>
          <w:p w14:paraId="3967FCA8" w14:textId="77777777" w:rsidR="00742B60" w:rsidRPr="004C5971" w:rsidRDefault="00742B60" w:rsidP="00845A4B">
            <w:pPr>
              <w:rPr>
                <w:sz w:val="18"/>
                <w:szCs w:val="16"/>
                <w:lang w:val="en-US"/>
              </w:rPr>
            </w:pPr>
            <w:r>
              <w:rPr>
                <w:sz w:val="18"/>
                <w:szCs w:val="16"/>
                <w:lang w:val="en-US"/>
              </w:rPr>
              <w:t>P (implicit)</w:t>
            </w:r>
          </w:p>
        </w:tc>
        <w:tc>
          <w:tcPr>
            <w:tcW w:w="2181" w:type="dxa"/>
          </w:tcPr>
          <w:p w14:paraId="6554950B" w14:textId="77777777" w:rsidR="00742B60" w:rsidRPr="00E549C9" w:rsidRDefault="00742B60" w:rsidP="00845A4B">
            <w:pPr>
              <w:rPr>
                <w:sz w:val="18"/>
                <w:szCs w:val="16"/>
                <w:lang w:val="en-US"/>
              </w:rPr>
            </w:pPr>
            <w:r w:rsidRPr="00E549C9">
              <w:rPr>
                <w:sz w:val="18"/>
                <w:szCs w:val="16"/>
                <w:lang w:val="en-US"/>
              </w:rPr>
              <w:t xml:space="preserve">Share of the total payment paid upfront </w:t>
            </w:r>
          </w:p>
        </w:tc>
        <w:tc>
          <w:tcPr>
            <w:tcW w:w="2246" w:type="dxa"/>
          </w:tcPr>
          <w:p w14:paraId="78E6A2EE" w14:textId="77777777" w:rsidR="00742B60" w:rsidRPr="00E549C9" w:rsidRDefault="00742B60" w:rsidP="00845A4B">
            <w:pPr>
              <w:rPr>
                <w:sz w:val="18"/>
                <w:szCs w:val="16"/>
                <w:lang w:val="en-US"/>
              </w:rPr>
            </w:pPr>
            <w:r>
              <w:rPr>
                <w:sz w:val="18"/>
                <w:szCs w:val="16"/>
                <w:lang w:val="en-US"/>
              </w:rPr>
              <w:t>P (explicit)</w:t>
            </w:r>
          </w:p>
        </w:tc>
      </w:tr>
      <w:tr w:rsidR="00742B60" w:rsidRPr="00235293" w14:paraId="6800D89E" w14:textId="77777777" w:rsidTr="00845A4B">
        <w:tc>
          <w:tcPr>
            <w:tcW w:w="1477" w:type="dxa"/>
            <w:tcBorders>
              <w:bottom w:val="single" w:sz="4" w:space="0" w:color="auto"/>
            </w:tcBorders>
          </w:tcPr>
          <w:p w14:paraId="450467FC" w14:textId="77777777" w:rsidR="00742B60" w:rsidRPr="004C5971" w:rsidRDefault="00742B60" w:rsidP="00845A4B">
            <w:pPr>
              <w:rPr>
                <w:i/>
                <w:iCs/>
                <w:sz w:val="18"/>
                <w:szCs w:val="16"/>
                <w:lang w:val="en-US"/>
              </w:rPr>
            </w:pPr>
            <w:r w:rsidRPr="004C5971">
              <w:rPr>
                <w:i/>
                <w:iCs/>
                <w:sz w:val="18"/>
                <w:szCs w:val="16"/>
                <w:lang w:val="en-US"/>
              </w:rPr>
              <w:t>Price ceiling</w:t>
            </w:r>
          </w:p>
        </w:tc>
        <w:tc>
          <w:tcPr>
            <w:tcW w:w="1688" w:type="dxa"/>
            <w:tcBorders>
              <w:bottom w:val="single" w:sz="4" w:space="0" w:color="auto"/>
            </w:tcBorders>
          </w:tcPr>
          <w:p w14:paraId="55161533" w14:textId="77777777" w:rsidR="00742B60" w:rsidRDefault="00742B60" w:rsidP="00845A4B">
            <w:pPr>
              <w:rPr>
                <w:sz w:val="18"/>
                <w:szCs w:val="16"/>
                <w:lang w:val="en-US"/>
              </w:rPr>
            </w:pPr>
          </w:p>
        </w:tc>
        <w:tc>
          <w:tcPr>
            <w:tcW w:w="1984" w:type="dxa"/>
            <w:tcBorders>
              <w:bottom w:val="single" w:sz="4" w:space="0" w:color="auto"/>
            </w:tcBorders>
          </w:tcPr>
          <w:p w14:paraId="4B381986" w14:textId="77777777" w:rsidR="00742B60" w:rsidRDefault="00742B60" w:rsidP="00845A4B">
            <w:pPr>
              <w:rPr>
                <w:sz w:val="18"/>
                <w:szCs w:val="16"/>
                <w:lang w:val="en-US"/>
              </w:rPr>
            </w:pPr>
            <w:r w:rsidRPr="004C5971">
              <w:rPr>
                <w:sz w:val="18"/>
                <w:szCs w:val="16"/>
                <w:lang w:val="en-US"/>
              </w:rPr>
              <w:t>No</w:t>
            </w:r>
          </w:p>
        </w:tc>
        <w:tc>
          <w:tcPr>
            <w:tcW w:w="2181" w:type="dxa"/>
            <w:tcBorders>
              <w:bottom w:val="single" w:sz="4" w:space="0" w:color="auto"/>
            </w:tcBorders>
          </w:tcPr>
          <w:p w14:paraId="4237F4E8" w14:textId="77777777" w:rsidR="00742B60" w:rsidRPr="00E549C9" w:rsidRDefault="00742B60" w:rsidP="00845A4B">
            <w:pPr>
              <w:rPr>
                <w:sz w:val="18"/>
                <w:szCs w:val="16"/>
                <w:lang w:val="en-US"/>
              </w:rPr>
            </w:pPr>
            <w:r w:rsidRPr="00E549C9">
              <w:rPr>
                <w:sz w:val="18"/>
                <w:szCs w:val="16"/>
                <w:lang w:val="en-US"/>
              </w:rPr>
              <w:t>Yes</w:t>
            </w:r>
          </w:p>
        </w:tc>
        <w:tc>
          <w:tcPr>
            <w:tcW w:w="2246" w:type="dxa"/>
            <w:tcBorders>
              <w:bottom w:val="single" w:sz="4" w:space="0" w:color="auto"/>
            </w:tcBorders>
          </w:tcPr>
          <w:p w14:paraId="77BB5034" w14:textId="77777777" w:rsidR="00742B60" w:rsidRDefault="00742B60" w:rsidP="00845A4B">
            <w:pPr>
              <w:rPr>
                <w:sz w:val="18"/>
                <w:szCs w:val="16"/>
                <w:lang w:val="en-US"/>
              </w:rPr>
            </w:pPr>
            <w:r w:rsidRPr="00E549C9">
              <w:rPr>
                <w:sz w:val="18"/>
                <w:szCs w:val="16"/>
                <w:lang w:val="en-US"/>
              </w:rPr>
              <w:t>Yes</w:t>
            </w:r>
          </w:p>
        </w:tc>
      </w:tr>
    </w:tbl>
    <w:p w14:paraId="04B3445C" w14:textId="77777777" w:rsidR="00742B60" w:rsidRDefault="00742B60" w:rsidP="00B800EF">
      <w:pPr>
        <w:rPr>
          <w:lang w:val="en-US"/>
        </w:rPr>
      </w:pPr>
    </w:p>
    <w:p w14:paraId="5EB6B24F" w14:textId="77777777" w:rsidR="00244D12" w:rsidRDefault="00244D12" w:rsidP="00B800EF">
      <w:pPr>
        <w:rPr>
          <w:lang w:val="en-US"/>
        </w:rPr>
      </w:pPr>
    </w:p>
    <w:p w14:paraId="45A200B7" w14:textId="1C8BA4E0" w:rsidR="009347AD" w:rsidRPr="009347AD" w:rsidRDefault="009347AD" w:rsidP="009347AD">
      <w:pPr>
        <w:rPr>
          <w:lang w:val="en-US"/>
        </w:rPr>
      </w:pPr>
      <w:r w:rsidRPr="009347AD">
        <w:rPr>
          <w:lang w:val="en-US"/>
        </w:rPr>
        <w:t xml:space="preserve">In addition to the option of buying fertilizers at the spot price </w:t>
      </w:r>
      <m:oMath>
        <m:r>
          <w:rPr>
            <w:rFonts w:ascii="Cambria Math" w:hAnsi="Cambria Math"/>
            <w:lang w:val="en-US"/>
          </w:rPr>
          <m:t>(</m:t>
        </m:r>
        <m:r>
          <w:rPr>
            <w:rFonts w:ascii="Cambria Math" w:hAnsi="Cambria Math"/>
          </w:rPr>
          <m:t>S</m:t>
        </m:r>
        <m:r>
          <w:rPr>
            <w:rFonts w:ascii="Cambria Math" w:hAnsi="Cambria Math"/>
            <w:lang w:val="en-US"/>
          </w:rPr>
          <m:t>)</m:t>
        </m:r>
      </m:oMath>
      <w:r w:rsidRPr="009347AD">
        <w:rPr>
          <w:lang w:val="en-US"/>
        </w:rPr>
        <w:t xml:space="preserve"> and forward contracting them with a supplier, thus fixing the price </w:t>
      </w:r>
      <m:oMath>
        <m:sSup>
          <m:sSupPr>
            <m:ctrlPr>
              <w:rPr>
                <w:rFonts w:ascii="Cambria Math" w:hAnsi="Cambria Math"/>
                <w:i/>
                <w:lang w:val="en-US"/>
              </w:rPr>
            </m:ctrlPr>
          </m:sSupPr>
          <m:e>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m:t>
            </m:r>
          </m:sup>
        </m:sSup>
        <m:r>
          <w:rPr>
            <w:rFonts w:ascii="Cambria Math" w:hAnsi="Cambria Math"/>
            <w:lang w:val="en-US"/>
          </w:rPr>
          <m:t>)</m:t>
        </m:r>
      </m:oMath>
      <w:r w:rsidRPr="009347AD">
        <w:rPr>
          <w:lang w:val="en-US"/>
        </w:rPr>
        <w:t xml:space="preserve">, we introduce an “insurance-like” mechanism. By paying a premium </w:t>
      </w:r>
      <m:oMath>
        <m:r>
          <w:rPr>
            <w:rFonts w:ascii="Cambria Math" w:hAnsi="Cambria Math"/>
            <w:lang w:val="en-US"/>
          </w:rPr>
          <m:t>(P)</m:t>
        </m:r>
      </m:oMath>
      <w:r w:rsidRPr="009347AD">
        <w:rPr>
          <w:lang w:val="en-US"/>
        </w:rPr>
        <w:t xml:space="preserve">, farmers ensure that, during the cropping cycle, if the fertilizer price goes above a certain threshold </w:t>
      </w:r>
      <m:oMath>
        <m:r>
          <w:rPr>
            <w:rFonts w:ascii="Cambria Math" w:hAnsi="Cambria Math"/>
            <w:lang w:val="en-US"/>
          </w:rPr>
          <m:t>(K)</m:t>
        </m:r>
      </m:oMath>
      <w:r w:rsidRPr="009347AD">
        <w:rPr>
          <w:lang w:val="en-US"/>
        </w:rPr>
        <w:t xml:space="preserve">, the payoff of the “insurance” would ensure that the price they pay would be capped at </w:t>
      </w:r>
      <m:oMath>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oMath>
      <w:r w:rsidRPr="009347AD">
        <w:rPr>
          <w:lang w:val="en-US"/>
        </w:rPr>
        <w:t>.</w:t>
      </w:r>
      <w:r w:rsidRPr="00327C48">
        <w:rPr>
          <w:rStyle w:val="FootnoteReference"/>
        </w:rPr>
        <w:footnoteReference w:id="2"/>
      </w:r>
      <w:r w:rsidRPr="009347AD">
        <w:rPr>
          <w:lang w:val="en-US"/>
        </w:rPr>
        <w:t xml:space="preserve"> In this case, the terms for the “insurance” payoff </w:t>
      </w:r>
      <m:oMath>
        <m:r>
          <w:rPr>
            <w:rFonts w:ascii="Cambria Math" w:hAnsi="Cambria Math"/>
            <w:lang w:val="en-US"/>
          </w:rPr>
          <m:t>(</m:t>
        </m:r>
        <m:r>
          <w:rPr>
            <w:rFonts w:ascii="Cambria Math" w:hAnsi="Cambria Math"/>
          </w:rPr>
          <m:t>α</m:t>
        </m:r>
        <m:r>
          <w:rPr>
            <w:rFonts w:ascii="Cambria Math" w:hAnsi="Cambria Math"/>
            <w:lang w:val="en-GB"/>
          </w:rPr>
          <m:t>)</m:t>
        </m:r>
      </m:oMath>
      <w:r w:rsidRPr="009347AD">
        <w:rPr>
          <w:lang w:val="en-US"/>
        </w:rPr>
        <w:t xml:space="preserve"> and premium </w:t>
      </w:r>
      <m:oMath>
        <m:r>
          <w:rPr>
            <w:rFonts w:ascii="Cambria Math" w:hAnsi="Cambria Math"/>
            <w:lang w:val="en-US"/>
          </w:rPr>
          <m:t>(</m:t>
        </m:r>
        <m:r>
          <w:rPr>
            <w:rFonts w:ascii="Cambria Math" w:hAnsi="Cambria Math"/>
          </w:rPr>
          <m:t>P</m:t>
        </m:r>
        <m:r>
          <w:rPr>
            <w:rFonts w:ascii="Cambria Math" w:hAnsi="Cambria Math"/>
            <w:lang w:val="en-GB"/>
          </w:rPr>
          <m:t>)</m:t>
        </m:r>
      </m:oMath>
      <w:r w:rsidRPr="009347AD">
        <w:rPr>
          <w:lang w:val="en-US"/>
        </w:rPr>
        <w:t xml:space="preserve"> are introduced: </w:t>
      </w:r>
    </w:p>
    <w:p w14:paraId="730235DF" w14:textId="77777777" w:rsidR="009347AD" w:rsidRPr="009347AD" w:rsidRDefault="009347AD" w:rsidP="009347AD">
      <w:pPr>
        <w:rPr>
          <w:lang w:val="en-US"/>
        </w:rPr>
      </w:pPr>
    </w:p>
    <w:p w14:paraId="2F003929" w14:textId="75325C69" w:rsidR="00244D12" w:rsidRDefault="003C0C4F" w:rsidP="009347AD">
      <w:pPr>
        <w:rPr>
          <w:lang w:val="en-US"/>
        </w:rPr>
      </w:pPr>
      <m:oMathPara>
        <m:oMath>
          <m:eqArr>
            <m:eqArrPr>
              <m:maxDist m:val="1"/>
              <m:ctrlPr>
                <w:rPr>
                  <w:rFonts w:ascii="Cambria Math" w:hAnsi="Cambria Math"/>
                  <w:i/>
                </w:rPr>
              </m:ctrlPr>
            </m:eqArrPr>
            <m:e>
              <m:r>
                <w:rPr>
                  <w:rFonts w:ascii="Cambria Math" w:hAnsi="Cambria Math"/>
                </w:rPr>
                <m:t>π</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y(N)</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N</m:t>
              </m:r>
              <m:r>
                <w:rPr>
                  <w:rFonts w:ascii="Cambria Math" w:hAnsi="Cambria Math"/>
                  <w:lang w:val="en-GB"/>
                </w:rPr>
                <m:t>+</m:t>
              </m:r>
              <m:r>
                <w:rPr>
                  <w:rFonts w:ascii="Cambria Math" w:hAnsi="Cambria Math"/>
                </w:rPr>
                <m:t>α</m:t>
              </m:r>
              <m:r>
                <w:rPr>
                  <w:rFonts w:ascii="Cambria Math" w:hAnsi="Cambria Math"/>
                  <w:lang w:val="en-GB"/>
                </w:rPr>
                <m:t>-</m:t>
              </m:r>
              <m:r>
                <w:rPr>
                  <w:rFonts w:ascii="Cambria Math" w:hAnsi="Cambria Math"/>
                </w:rPr>
                <m:t>P#</m:t>
              </m:r>
              <m:d>
                <m:dPr>
                  <m:ctrlPr>
                    <w:rPr>
                      <w:rFonts w:ascii="Cambria Math" w:hAnsi="Cambria Math"/>
                      <w:i/>
                    </w:rPr>
                  </m:ctrlPr>
                </m:dPr>
                <m:e>
                  <m:r>
                    <w:rPr>
                      <w:rFonts w:ascii="Cambria Math" w:hAnsi="Cambria Math"/>
                    </w:rPr>
                    <m:t>3</m:t>
                  </m:r>
                </m:e>
              </m:d>
            </m:e>
          </m:eqArr>
        </m:oMath>
      </m:oMathPara>
    </w:p>
    <w:p w14:paraId="45CEF437" w14:textId="77777777" w:rsidR="000A565B" w:rsidRPr="000A565B" w:rsidRDefault="000A565B" w:rsidP="000A565B">
      <w:pPr>
        <w:rPr>
          <w:lang w:val="en-US"/>
        </w:rPr>
      </w:pPr>
      <w:r w:rsidRPr="000A565B">
        <w:rPr>
          <w:lang w:val="en-US"/>
        </w:rPr>
        <w:t xml:space="preserve">where: </w:t>
      </w:r>
    </w:p>
    <w:p w14:paraId="2F7BBD9E" w14:textId="77777777" w:rsidR="000A565B" w:rsidRPr="000A565B" w:rsidRDefault="000A565B" w:rsidP="000A565B">
      <w:pPr>
        <w:rPr>
          <w:lang w:val="en-US"/>
        </w:rPr>
      </w:pPr>
    </w:p>
    <w:p w14:paraId="392635DC" w14:textId="69A805C3" w:rsidR="000A565B" w:rsidRPr="000A565B" w:rsidRDefault="003C0C4F" w:rsidP="000A565B">
      <w:pPr>
        <w:rPr>
          <w:lang w:val="en-US"/>
        </w:rPr>
      </w:pPr>
      <m:oMathPara>
        <m:oMath>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 xml:space="preserve">= </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&lt;K</m:t>
                  </m:r>
                </m:e>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&gt;K</m:t>
                  </m:r>
                </m:e>
              </m:eqArr>
            </m:e>
          </m:d>
        </m:oMath>
      </m:oMathPara>
    </w:p>
    <w:p w14:paraId="09ECFC23" w14:textId="77777777" w:rsidR="000A565B" w:rsidRPr="000A565B" w:rsidRDefault="000A565B" w:rsidP="000A565B">
      <w:pPr>
        <w:rPr>
          <w:lang w:val="en-US"/>
        </w:rPr>
      </w:pPr>
    </w:p>
    <w:p w14:paraId="5AA9091B" w14:textId="77777777" w:rsidR="00244D12" w:rsidRDefault="00244D12" w:rsidP="00B800EF">
      <w:pPr>
        <w:rPr>
          <w:lang w:val="en-US"/>
        </w:rPr>
      </w:pPr>
    </w:p>
    <w:p w14:paraId="63A504AE" w14:textId="0D63836F" w:rsidR="00AF60DE" w:rsidRPr="00AF60DE" w:rsidRDefault="00AF60DE" w:rsidP="00AF60DE">
      <w:pPr>
        <w:rPr>
          <w:lang w:val="en-GB"/>
        </w:rPr>
      </w:pPr>
      <w:r w:rsidRPr="00AF60DE">
        <w:rPr>
          <w:lang w:val="en-GB"/>
        </w:rPr>
        <w:t xml:space="preserve">How to make the </w:t>
      </w:r>
      <w:r w:rsidR="00A163B1">
        <w:rPr>
          <w:lang w:val="en-GB"/>
        </w:rPr>
        <w:t>behavioural</w:t>
      </w:r>
      <w:r w:rsidRPr="00AF60DE">
        <w:rPr>
          <w:lang w:val="en-GB"/>
        </w:rPr>
        <w:t xml:space="preserve"> adjustment:</w:t>
      </w:r>
    </w:p>
    <w:p w14:paraId="4CB17368" w14:textId="77777777" w:rsidR="00AF60DE" w:rsidRPr="00AF60DE" w:rsidRDefault="00AF60DE" w:rsidP="00AF60DE">
      <w:pPr>
        <w:numPr>
          <w:ilvl w:val="0"/>
          <w:numId w:val="7"/>
        </w:numPr>
        <w:rPr>
          <w:lang w:val="en-GB"/>
        </w:rPr>
      </w:pPr>
      <w:r w:rsidRPr="00AF60DE">
        <w:rPr>
          <w:lang w:val="en-GB"/>
        </w:rPr>
        <w:t xml:space="preserve">Farmers are especially sensitive to initial losses </w:t>
      </w:r>
      <w:r w:rsidRPr="00AF60DE">
        <w:rPr>
          <w:lang w:val="en-GB"/>
        </w:rPr>
        <w:sym w:font="Wingdings" w:char="F0E0"/>
      </w:r>
      <w:r w:rsidRPr="00AF60DE">
        <w:rPr>
          <w:lang w:val="en-GB"/>
        </w:rPr>
        <w:t xml:space="preserve"> reduced or progressive deductibles</w:t>
      </w:r>
    </w:p>
    <w:p w14:paraId="4EA541B6" w14:textId="77777777" w:rsidR="00AF60DE" w:rsidRPr="00AF60DE" w:rsidRDefault="00AF60DE" w:rsidP="00AF60DE">
      <w:pPr>
        <w:numPr>
          <w:ilvl w:val="0"/>
          <w:numId w:val="7"/>
        </w:numPr>
        <w:rPr>
          <w:lang w:val="en-GB"/>
        </w:rPr>
      </w:pPr>
      <w:r w:rsidRPr="00AF60DE">
        <w:rPr>
          <w:lang w:val="en-GB"/>
        </w:rPr>
        <w:t>Coverage just above the reference price (moving average?)</w:t>
      </w:r>
    </w:p>
    <w:p w14:paraId="34D6B04B" w14:textId="77777777" w:rsidR="00AF60DE" w:rsidRPr="00AF60DE" w:rsidRDefault="00AF60DE" w:rsidP="00AF60DE">
      <w:pPr>
        <w:numPr>
          <w:ilvl w:val="0"/>
          <w:numId w:val="7"/>
        </w:numPr>
        <w:rPr>
          <w:lang w:val="en-GB"/>
        </w:rPr>
      </w:pPr>
      <w:r w:rsidRPr="00AF60DE">
        <w:rPr>
          <w:lang w:val="en-GB"/>
        </w:rPr>
        <w:t>Maybe insurance layer (</w:t>
      </w:r>
      <w:r w:rsidRPr="00AF60DE">
        <w:rPr>
          <w:lang w:val="en-US"/>
        </w:rPr>
        <w:fldChar w:fldCharType="begin"/>
      </w:r>
      <w:r w:rsidRPr="00AF60DE">
        <w:rPr>
          <w:lang w:val="en-GB"/>
        </w:rPr>
        <w:instrText xml:space="preserve"> ADDIN ZOTERO_ITEM CSL_CITATION {"citationID":"6XDcOwOZ","properties":{"formattedCitation":"(Sung et al., 2011)","plainCitation":"(Sung et al., 2011)","dontUpdate":true,"noteIndex":0},"citationItems":[{"id":126946,"uris":["http://zotero.org/users/14812719/items/3MIR4K9B"],"itemData":{"id":126946,"type":"article-journal","abstract":"The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sidRPr="00AF60DE">
        <w:rPr>
          <w:lang w:val="en-US"/>
        </w:rPr>
        <w:fldChar w:fldCharType="separate"/>
      </w:r>
      <w:r w:rsidRPr="00AF60DE">
        <w:rPr>
          <w:lang w:val="en-GB"/>
        </w:rPr>
        <w:t>Sung et al., 2011)</w:t>
      </w:r>
      <w:r w:rsidRPr="00AF60DE">
        <w:rPr>
          <w:lang w:val="en-US"/>
        </w:rPr>
        <w:fldChar w:fldCharType="end"/>
      </w:r>
      <w:r w:rsidRPr="00AF60DE">
        <w:rPr>
          <w:lang w:val="en-US"/>
        </w:rPr>
        <w:t xml:space="preserve"> </w:t>
      </w:r>
    </w:p>
    <w:p w14:paraId="2B360A89" w14:textId="77777777" w:rsidR="00AF60DE" w:rsidRPr="00AF60DE" w:rsidRDefault="00AF60DE" w:rsidP="00AF60DE">
      <w:pPr>
        <w:numPr>
          <w:ilvl w:val="1"/>
          <w:numId w:val="7"/>
        </w:numPr>
        <w:rPr>
          <w:lang w:val="en-GB"/>
        </w:rPr>
      </w:pPr>
      <w:r w:rsidRPr="00AF60DE">
        <w:rPr>
          <w:lang w:val="en-US"/>
        </w:rPr>
        <w:t>One for small losses (frequent, lower payouts)</w:t>
      </w:r>
    </w:p>
    <w:p w14:paraId="533EE2B7" w14:textId="77777777" w:rsidR="00AF60DE" w:rsidRPr="00AF60DE" w:rsidRDefault="00AF60DE" w:rsidP="00AF60DE">
      <w:pPr>
        <w:numPr>
          <w:ilvl w:val="1"/>
          <w:numId w:val="7"/>
        </w:numPr>
        <w:rPr>
          <w:lang w:val="en-GB"/>
        </w:rPr>
      </w:pPr>
      <w:r w:rsidRPr="00AF60DE">
        <w:rPr>
          <w:lang w:val="en-US"/>
        </w:rPr>
        <w:t>One for catastrophic losses (rare, high payouts)</w:t>
      </w:r>
    </w:p>
    <w:p w14:paraId="47C3E424" w14:textId="77777777" w:rsidR="00AF60DE" w:rsidRDefault="00AF60DE" w:rsidP="00B800EF">
      <w:pPr>
        <w:rPr>
          <w:lang w:val="en-US"/>
        </w:rPr>
      </w:pPr>
    </w:p>
    <w:p w14:paraId="3D19039A" w14:textId="77777777" w:rsidR="00F54218" w:rsidRDefault="00F54218" w:rsidP="00B800EF">
      <w:pPr>
        <w:rPr>
          <w:lang w:val="en-US"/>
        </w:rPr>
      </w:pPr>
    </w:p>
    <w:p w14:paraId="472B2E2E" w14:textId="21B89E5B" w:rsidR="00F54218" w:rsidRDefault="00BA75E5" w:rsidP="004F2656">
      <w:pPr>
        <w:tabs>
          <w:tab w:val="num" w:pos="720"/>
        </w:tabs>
        <w:rPr>
          <w:lang w:val="en-GB"/>
        </w:rPr>
      </w:pPr>
      <w:r w:rsidRPr="00306FF7">
        <w:rPr>
          <w:lang w:val="en-GB"/>
        </w:rPr>
        <w:t>Farmers often don't know the true probability distribution of future prices</w:t>
      </w:r>
      <w:r w:rsidR="00F06356">
        <w:rPr>
          <w:lang w:val="en-GB"/>
        </w:rPr>
        <w:t xml:space="preserve">, </w:t>
      </w:r>
      <w:r w:rsidRPr="00306FF7">
        <w:rPr>
          <w:lang w:val="en-GB"/>
        </w:rPr>
        <w:t>especially under</w:t>
      </w:r>
      <w:r w:rsidR="00F06356">
        <w:rPr>
          <w:lang w:val="en-GB"/>
        </w:rPr>
        <w:t xml:space="preserve"> p</w:t>
      </w:r>
      <w:r w:rsidRPr="00306FF7">
        <w:rPr>
          <w:lang w:val="en-GB"/>
        </w:rPr>
        <w:t>olicy uncertainty</w:t>
      </w:r>
      <w:r w:rsidR="00C418C2">
        <w:rPr>
          <w:lang w:val="en-GB"/>
        </w:rPr>
        <w:t xml:space="preserve"> or</w:t>
      </w:r>
      <w:r w:rsidR="00F06356">
        <w:rPr>
          <w:lang w:val="en-GB"/>
        </w:rPr>
        <w:t xml:space="preserve"> m</w:t>
      </w:r>
      <w:r w:rsidRPr="00306FF7">
        <w:rPr>
          <w:lang w:val="en-GB"/>
        </w:rPr>
        <w:t xml:space="preserve">arket shocks (e.g., </w:t>
      </w:r>
      <w:r w:rsidR="00CA12B3">
        <w:rPr>
          <w:lang w:val="en-GB"/>
        </w:rPr>
        <w:t xml:space="preserve">geopolitical </w:t>
      </w:r>
      <w:r w:rsidR="00D13769">
        <w:rPr>
          <w:lang w:val="en-GB"/>
        </w:rPr>
        <w:t>events</w:t>
      </w:r>
      <w:r w:rsidRPr="00306FF7">
        <w:rPr>
          <w:lang w:val="en-GB"/>
        </w:rPr>
        <w:t>, pandemics</w:t>
      </w:r>
      <w:r w:rsidR="00C418C2">
        <w:rPr>
          <w:lang w:val="en-GB"/>
        </w:rPr>
        <w:t>, climate change</w:t>
      </w:r>
      <w:r w:rsidRPr="00306FF7">
        <w:rPr>
          <w:lang w:val="en-GB"/>
        </w:rPr>
        <w:t>)</w:t>
      </w:r>
      <w:r w:rsidR="00C418C2">
        <w:rPr>
          <w:lang w:val="en-GB"/>
        </w:rPr>
        <w:t>.</w:t>
      </w:r>
    </w:p>
    <w:p w14:paraId="07412C3A" w14:textId="77777777" w:rsidR="00040388" w:rsidRDefault="00040388" w:rsidP="004F2656">
      <w:pPr>
        <w:tabs>
          <w:tab w:val="num" w:pos="720"/>
        </w:tabs>
        <w:rPr>
          <w:lang w:val="en-GB"/>
        </w:rPr>
      </w:pPr>
    </w:p>
    <w:p w14:paraId="3E3DE4D2" w14:textId="77777777" w:rsidR="00F43ACF" w:rsidRPr="0011582A" w:rsidRDefault="00F43ACF" w:rsidP="00F43ACF">
      <w:pPr>
        <w:jc w:val="both"/>
        <w:rPr>
          <w:szCs w:val="22"/>
          <w:lang w:val="en-US"/>
        </w:rPr>
      </w:pPr>
      <w:r w:rsidRPr="0011582A">
        <w:rPr>
          <w:szCs w:val="22"/>
          <w:lang w:val="en-GB"/>
        </w:rPr>
        <w:t xml:space="preserve">Assuming </w:t>
      </w:r>
      <m:oMath>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oMath>
      <w:r w:rsidRPr="0011582A">
        <w:rPr>
          <w:szCs w:val="22"/>
          <w:lang w:val="en-GB"/>
        </w:rPr>
        <w:t xml:space="preserve"> as the probabilities of each single outcome </w:t>
      </w:r>
      <m:oMath>
        <m:d>
          <m:dPr>
            <m:ctrlPr>
              <w:rPr>
                <w:rFonts w:ascii="Cambria Math" w:hAnsi="Cambria Math"/>
                <w:szCs w:val="22"/>
              </w:rPr>
            </m:ctrlPr>
          </m:dPr>
          <m:e>
            <m:r>
              <w:rPr>
                <w:rFonts w:ascii="Cambria Math" w:hAnsi="Cambria Math"/>
                <w:szCs w:val="22"/>
              </w:rPr>
              <m:t>σ</m:t>
            </m:r>
          </m:e>
        </m:d>
      </m:oMath>
      <w:r w:rsidRPr="0011582A">
        <w:rPr>
          <w:szCs w:val="22"/>
          <w:lang w:val="en-US"/>
        </w:rPr>
        <w:t>:</w:t>
      </w:r>
    </w:p>
    <w:p w14:paraId="678029A6" w14:textId="77777777" w:rsidR="00F43ACF" w:rsidRPr="0011582A" w:rsidRDefault="00F43ACF" w:rsidP="00F43ACF">
      <w:pPr>
        <w:jc w:val="both"/>
        <w:rPr>
          <w:szCs w:val="22"/>
          <w:lang w:val="en-US"/>
        </w:rPr>
      </w:pPr>
    </w:p>
    <w:p w14:paraId="3ACAAB95" w14:textId="77777777" w:rsidR="00F43ACF" w:rsidRPr="0011582A" w:rsidRDefault="003C0C4F" w:rsidP="00F43ACF">
      <w:pPr>
        <w:jc w:val="both"/>
        <w:rPr>
          <w:szCs w:val="22"/>
        </w:rPr>
      </w:pPr>
      <m:oMathPara>
        <m:oMath>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oMath>
      </m:oMathPara>
    </w:p>
    <w:p w14:paraId="0C254AA6" w14:textId="77777777" w:rsidR="00F43ACF" w:rsidRPr="0011582A" w:rsidRDefault="00F43ACF" w:rsidP="00F43ACF">
      <w:pPr>
        <w:jc w:val="both"/>
        <w:rPr>
          <w:szCs w:val="22"/>
        </w:rPr>
      </w:pPr>
    </w:p>
    <w:p w14:paraId="0DAD7BC7" w14:textId="77777777" w:rsidR="00F43ACF" w:rsidRPr="00253A53" w:rsidRDefault="00F43ACF" w:rsidP="00F43ACF">
      <w:pPr>
        <w:jc w:val="both"/>
        <w:rPr>
          <w:iCs/>
          <w:szCs w:val="22"/>
        </w:rPr>
      </w:pPr>
      <m:oMathPara>
        <m:oMath>
          <m:r>
            <m:rPr>
              <m:sty m:val="p"/>
            </m:rPr>
            <w:rPr>
              <w:rFonts w:ascii="Cambria Math" w:hAnsi="Cambria Math"/>
              <w:szCs w:val="22"/>
            </w:rPr>
            <m:t xml:space="preserve"> </m:t>
          </m:r>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e>
          </m:d>
        </m:oMath>
      </m:oMathPara>
    </w:p>
    <w:p w14:paraId="537240FB" w14:textId="77777777" w:rsidR="00F43ACF" w:rsidRDefault="00F43ACF" w:rsidP="00F43ACF">
      <w:pPr>
        <w:jc w:val="both"/>
        <w:rPr>
          <w:iCs/>
          <w:szCs w:val="22"/>
        </w:rPr>
      </w:pPr>
    </w:p>
    <w:p w14:paraId="406B45D0" w14:textId="77777777" w:rsidR="00040388" w:rsidRDefault="00040388" w:rsidP="00040388">
      <w:pPr>
        <w:jc w:val="both"/>
        <w:rPr>
          <w:sz w:val="20"/>
          <w:szCs w:val="18"/>
          <w:lang w:val="en-US"/>
        </w:rPr>
      </w:pPr>
    </w:p>
    <w:p w14:paraId="430B0A36" w14:textId="77777777" w:rsidR="00040388" w:rsidRDefault="00040388" w:rsidP="00040388">
      <w:pPr>
        <w:jc w:val="both"/>
        <w:rPr>
          <w:sz w:val="20"/>
          <w:szCs w:val="18"/>
          <w:lang w:val="en-US"/>
        </w:rPr>
      </w:pPr>
    </w:p>
    <w:p w14:paraId="4EDA322C" w14:textId="783195F3" w:rsidR="00040388" w:rsidRDefault="007B5DC5" w:rsidP="007B5DC5">
      <w:pPr>
        <w:rPr>
          <w:lang w:val="en-US"/>
        </w:rPr>
      </w:pPr>
      <w:r w:rsidRPr="007B5DC5">
        <w:rPr>
          <w:lang w:val="en-US"/>
        </w:rPr>
        <w:t xml:space="preserve">By introducing an option mechanism that caps losses at a predetermined threshold \left(K\right), allow us to </w:t>
      </w:r>
      <w:proofErr w:type="spellStart"/>
      <w:r w:rsidRPr="007B5DC5">
        <w:rPr>
          <w:lang w:val="en-US"/>
        </w:rPr>
        <w:t>behaviourally</w:t>
      </w:r>
      <w:proofErr w:type="spellEnd"/>
      <w:r w:rsidRPr="007B5DC5">
        <w:rPr>
          <w:lang w:val="en-US"/>
        </w:rPr>
        <w:t xml:space="preserve"> adjust the contract to address farmers’ loss aversion.  </w:t>
      </w:r>
    </w:p>
    <w:p w14:paraId="5FC43ECF" w14:textId="77777777" w:rsidR="00B90618" w:rsidRDefault="00B90618" w:rsidP="007B5DC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B90618" w:rsidRPr="004C5971" w14:paraId="160E67B6" w14:textId="77777777" w:rsidTr="00EC4966">
        <w:tc>
          <w:tcPr>
            <w:tcW w:w="5000" w:type="pct"/>
            <w:tcBorders>
              <w:top w:val="single" w:sz="4" w:space="0" w:color="auto"/>
              <w:bottom w:val="single" w:sz="4" w:space="0" w:color="auto"/>
            </w:tcBorders>
          </w:tcPr>
          <w:p w14:paraId="1970C3A6" w14:textId="77777777" w:rsidR="00B90618" w:rsidRPr="004C5971" w:rsidRDefault="00B90618" w:rsidP="00ED10A0">
            <w:pPr>
              <w:spacing w:line="360" w:lineRule="auto"/>
              <w:jc w:val="center"/>
              <w:rPr>
                <w:b/>
                <w:bCs/>
                <w:sz w:val="18"/>
                <w:szCs w:val="16"/>
                <w:lang w:val="en-US"/>
              </w:rPr>
            </w:pPr>
            <w:r>
              <w:rPr>
                <w:b/>
                <w:bCs/>
                <w:sz w:val="18"/>
                <w:szCs w:val="16"/>
                <w:lang w:val="en-US"/>
              </w:rPr>
              <w:t xml:space="preserve">Adjusted </w:t>
            </w:r>
            <w:r w:rsidRPr="004C5971">
              <w:rPr>
                <w:b/>
                <w:bCs/>
                <w:sz w:val="18"/>
                <w:szCs w:val="16"/>
                <w:lang w:val="en-US"/>
              </w:rPr>
              <w:t>“</w:t>
            </w:r>
            <w:r>
              <w:rPr>
                <w:b/>
                <w:bCs/>
                <w:sz w:val="18"/>
                <w:szCs w:val="16"/>
                <w:lang w:val="en-US"/>
              </w:rPr>
              <w:t>Range</w:t>
            </w:r>
            <w:r w:rsidRPr="004C5971">
              <w:rPr>
                <w:b/>
                <w:bCs/>
                <w:sz w:val="18"/>
                <w:szCs w:val="16"/>
                <w:lang w:val="en-US"/>
              </w:rPr>
              <w:t>” contract</w:t>
            </w:r>
          </w:p>
        </w:tc>
      </w:tr>
      <w:tr w:rsidR="00B90618" w:rsidRPr="00B15993" w14:paraId="35ED1664" w14:textId="77777777" w:rsidTr="00EC4966">
        <w:tc>
          <w:tcPr>
            <w:tcW w:w="5000" w:type="pct"/>
            <w:vAlign w:val="center"/>
          </w:tcPr>
          <w:p w14:paraId="41AD71A1" w14:textId="77777777" w:rsidR="00B90618" w:rsidRPr="00B15993" w:rsidRDefault="003C0C4F" w:rsidP="00ED10A0">
            <w:pPr>
              <w:spacing w:line="360" w:lineRule="auto"/>
              <w:jc w:val="center"/>
              <w:rPr>
                <w:rFonts w:ascii="Times New Roman" w:eastAsia="Calibri" w:hAnsi="Times New Roman"/>
                <w:sz w:val="18"/>
                <w:szCs w:val="16"/>
                <w:lang w:val="en-US"/>
              </w:rPr>
            </w:pPr>
            <m:oMathPara>
              <m:oMath>
                <m:d>
                  <m:dPr>
                    <m:begChr m:val="{"/>
                    <m:endChr m:val=""/>
                    <m:ctrlPr>
                      <w:rPr>
                        <w:rFonts w:ascii="Cambria Math" w:eastAsia="Calibri" w:hAnsi="Cambria Math"/>
                        <w:i/>
                        <w:sz w:val="18"/>
                        <w:szCs w:val="16"/>
                        <w:lang w:val="en-US"/>
                      </w:rPr>
                    </m:ctrlPr>
                  </m:dPr>
                  <m:e>
                    <m:eqArr>
                      <m:eqArrPr>
                        <m:ctrlPr>
                          <w:rPr>
                            <w:rFonts w:ascii="Cambria Math" w:eastAsia="Calibri" w:hAnsi="Cambria Math"/>
                            <w:i/>
                            <w:sz w:val="18"/>
                            <w:szCs w:val="16"/>
                            <w:lang w:val="en-US"/>
                          </w:rPr>
                        </m:ctrlPr>
                      </m:eqArrPr>
                      <m:e>
                        <m:r>
                          <w:rPr>
                            <w:rFonts w:ascii="Cambria Math" w:hAnsi="Cambria Math"/>
                            <w:sz w:val="18"/>
                            <w:szCs w:val="16"/>
                            <w:lang w:val="en-US"/>
                          </w:rPr>
                          <m:t xml:space="preserve">S-K                 if </m:t>
                        </m:r>
                        <m:r>
                          <w:rPr>
                            <w:rFonts w:ascii="Cambria Math" w:hAnsi="Cambria Math" w:cs="Calibri"/>
                            <w:sz w:val="18"/>
                            <w:szCs w:val="16"/>
                          </w:rPr>
                          <m:t>S</m:t>
                        </m:r>
                        <m:r>
                          <w:rPr>
                            <w:rFonts w:ascii="Cambria Math" w:hAnsi="Cambria Math"/>
                            <w:sz w:val="18"/>
                            <w:szCs w:val="16"/>
                            <w:lang w:val="en-US"/>
                          </w:rPr>
                          <m:t>&gt;K</m:t>
                        </m:r>
                      </m:e>
                      <m:e>
                        <m:r>
                          <w:rPr>
                            <w:rFonts w:ascii="Cambria Math" w:hAnsi="Cambria Math" w:cs="Calibri"/>
                            <w:sz w:val="18"/>
                            <w:szCs w:val="16"/>
                          </w:rPr>
                          <m:t>S</m:t>
                        </m:r>
                        <m:r>
                          <w:rPr>
                            <w:rFonts w:ascii="Cambria Math" w:hAnsi="Cambria Math"/>
                            <w:sz w:val="18"/>
                            <w:szCs w:val="16"/>
                            <w:lang w:val="en-US"/>
                          </w:rPr>
                          <m:t xml:space="preserve">                  if L</m:t>
                        </m:r>
                        <m:r>
                          <w:rPr>
                            <w:rFonts w:ascii="Cambria Math" w:hAnsi="Cambria Math"/>
                            <w:sz w:val="18"/>
                            <w:szCs w:val="16"/>
                          </w:rPr>
                          <m:t>≤</m:t>
                        </m:r>
                        <m:r>
                          <w:rPr>
                            <w:rFonts w:ascii="Cambria Math" w:hAnsi="Cambria Math" w:cs="Calibri"/>
                            <w:sz w:val="18"/>
                            <w:szCs w:val="16"/>
                          </w:rPr>
                          <m:t>S</m:t>
                        </m:r>
                        <m:r>
                          <w:rPr>
                            <w:rFonts w:ascii="Cambria Math" w:hAnsi="Cambria Math"/>
                            <w:sz w:val="18"/>
                            <w:szCs w:val="16"/>
                          </w:rPr>
                          <m:t>≤</m:t>
                        </m:r>
                        <m:r>
                          <w:rPr>
                            <w:rFonts w:ascii="Cambria Math" w:hAnsi="Cambria Math"/>
                            <w:sz w:val="18"/>
                            <w:szCs w:val="16"/>
                            <w:lang w:val="en-US"/>
                          </w:rPr>
                          <m:t>K</m:t>
                        </m:r>
                      </m:e>
                      <m:e>
                        <m:r>
                          <w:rPr>
                            <w:rFonts w:ascii="Cambria Math" w:eastAsia="Calibri" w:hAnsi="Cambria Math"/>
                            <w:sz w:val="18"/>
                            <w:szCs w:val="16"/>
                            <w:lang w:val="en-US"/>
                          </w:rPr>
                          <m:t xml:space="preserve">L </m:t>
                        </m:r>
                        <m:r>
                          <w:rPr>
                            <w:rFonts w:ascii="Cambria Math" w:hAnsi="Cambria Math"/>
                            <w:sz w:val="18"/>
                            <w:szCs w:val="16"/>
                            <w:lang w:val="en-US"/>
                          </w:rPr>
                          <m:t xml:space="preserve">                          if </m:t>
                        </m:r>
                        <m:r>
                          <w:rPr>
                            <w:rFonts w:ascii="Cambria Math" w:hAnsi="Cambria Math" w:cs="Calibri"/>
                            <w:sz w:val="18"/>
                            <w:szCs w:val="16"/>
                          </w:rPr>
                          <m:t>S</m:t>
                        </m:r>
                        <m:r>
                          <w:rPr>
                            <w:rFonts w:ascii="Cambria Math" w:hAnsi="Cambria Math"/>
                            <w:sz w:val="18"/>
                            <w:szCs w:val="16"/>
                          </w:rPr>
                          <m:t>&lt;L</m:t>
                        </m:r>
                      </m:e>
                    </m:eqArr>
                  </m:e>
                </m:d>
              </m:oMath>
            </m:oMathPara>
          </w:p>
        </w:tc>
      </w:tr>
      <w:tr w:rsidR="00B90618" w:rsidRPr="00BF5250" w14:paraId="5C4D75D9" w14:textId="77777777" w:rsidTr="00EC4966">
        <w:trPr>
          <w:trHeight w:val="277"/>
        </w:trPr>
        <w:tc>
          <w:tcPr>
            <w:tcW w:w="5000" w:type="pct"/>
            <w:vAlign w:val="center"/>
          </w:tcPr>
          <w:p w14:paraId="6380B931" w14:textId="77777777" w:rsidR="00B90618" w:rsidRPr="00BF5250" w:rsidRDefault="00B90618" w:rsidP="00ED10A0">
            <w:pPr>
              <w:spacing w:line="360" w:lineRule="auto"/>
              <w:jc w:val="center"/>
              <w:rPr>
                <w:rFonts w:ascii="Times New Roman" w:eastAsia="Calibri" w:hAnsi="Times New Roman"/>
                <w:sz w:val="18"/>
                <w:szCs w:val="16"/>
              </w:rPr>
            </w:pPr>
            <w:r>
              <w:rPr>
                <w:rFonts w:ascii="Times New Roman" w:eastAsia="Calibri" w:hAnsi="Times New Roman"/>
                <w:sz w:val="18"/>
                <w:szCs w:val="16"/>
              </w:rPr>
              <w:t>??</w:t>
            </w:r>
          </w:p>
        </w:tc>
      </w:tr>
      <w:tr w:rsidR="00B90618" w:rsidRPr="00BF5250" w14:paraId="2D932F72" w14:textId="77777777" w:rsidTr="00EC4966">
        <w:trPr>
          <w:trHeight w:val="281"/>
        </w:trPr>
        <w:tc>
          <w:tcPr>
            <w:tcW w:w="5000" w:type="pct"/>
            <w:vAlign w:val="center"/>
          </w:tcPr>
          <w:p w14:paraId="22AEF900" w14:textId="77777777" w:rsidR="00B90618" w:rsidRPr="00BF5250" w:rsidRDefault="00B90618" w:rsidP="00ED10A0">
            <w:pPr>
              <w:spacing w:line="360" w:lineRule="auto"/>
              <w:jc w:val="center"/>
              <w:rPr>
                <w:rFonts w:ascii="Times New Roman" w:eastAsia="Calibri" w:hAnsi="Times New Roman"/>
                <w:sz w:val="18"/>
                <w:szCs w:val="16"/>
                <w:lang w:val="en-US"/>
              </w:rPr>
            </w:pPr>
            <m:oMathPara>
              <m:oMath>
                <m:r>
                  <w:rPr>
                    <w:rFonts w:ascii="Cambria Math" w:hAnsi="Cambria Math"/>
                    <w:sz w:val="18"/>
                    <w:szCs w:val="16"/>
                    <w:lang w:val="en-US"/>
                  </w:rPr>
                  <m:t>K</m:t>
                </m:r>
              </m:oMath>
            </m:oMathPara>
          </w:p>
        </w:tc>
      </w:tr>
      <w:tr w:rsidR="00B90618" w14:paraId="67DBDE7E" w14:textId="77777777" w:rsidTr="00EC4966">
        <w:tc>
          <w:tcPr>
            <w:tcW w:w="5000" w:type="pct"/>
            <w:tcBorders>
              <w:bottom w:val="single" w:sz="4" w:space="0" w:color="auto"/>
            </w:tcBorders>
            <w:vAlign w:val="center"/>
          </w:tcPr>
          <w:p w14:paraId="028FF5F8" w14:textId="77777777" w:rsidR="00B90618" w:rsidRDefault="00B90618" w:rsidP="00ED10A0">
            <w:pPr>
              <w:spacing w:line="360" w:lineRule="auto"/>
              <w:jc w:val="center"/>
              <w:rPr>
                <w:sz w:val="18"/>
                <w:szCs w:val="16"/>
                <w:lang w:val="en-US"/>
              </w:rPr>
            </w:pPr>
            <w:r>
              <w:rPr>
                <w:sz w:val="18"/>
                <w:szCs w:val="16"/>
                <w:lang w:val="en-US"/>
              </w:rPr>
              <w:t>Loss aversion</w:t>
            </w:r>
          </w:p>
        </w:tc>
      </w:tr>
    </w:tbl>
    <w:p w14:paraId="679B3497" w14:textId="766CC843" w:rsidR="00EC4966" w:rsidRDefault="00EC4966" w:rsidP="007B5DC5">
      <w:pPr>
        <w:rPr>
          <w:szCs w:val="22"/>
          <w:lang w:val="en-US"/>
        </w:rPr>
      </w:pPr>
      <w:r>
        <w:rPr>
          <w:szCs w:val="22"/>
          <w:lang w:val="en-US"/>
        </w:rPr>
        <w:lastRenderedPageBreak/>
        <w:t>Based on the overview of decision models under ambiguity provided by Conte &amp; Hey (2013) and Hey and Pace (2014) we select WHAT??</w:t>
      </w:r>
      <w:r>
        <w:rPr>
          <w:szCs w:val="22"/>
          <w:lang w:val="en-US"/>
        </w:rPr>
        <w:br/>
      </w:r>
    </w:p>
    <w:p w14:paraId="241F905E" w14:textId="3F233C5C" w:rsidR="00DC7523" w:rsidRPr="00DC7523" w:rsidRDefault="00DC7523" w:rsidP="007B5DC5">
      <w:pPr>
        <w:rPr>
          <w:szCs w:val="22"/>
          <w:lang w:val="en-US"/>
        </w:rPr>
      </w:pPr>
      <w:r>
        <w:rPr>
          <w:szCs w:val="22"/>
          <w:lang w:val="en-US"/>
        </w:rPr>
        <w:t>Several models under ambiguity have been proposed. Conte &amp; Hey (2013) and Hey &amp; Pace (2014), assessed the most relevant decision models under ambiguity broadly dividing them</w:t>
      </w:r>
      <w:r w:rsidRPr="00072D32">
        <w:rPr>
          <w:szCs w:val="22"/>
          <w:lang w:val="en-US"/>
        </w:rPr>
        <w:t xml:space="preserve"> </w:t>
      </w:r>
      <w:r>
        <w:rPr>
          <w:szCs w:val="22"/>
          <w:lang w:val="en-US"/>
        </w:rPr>
        <w:t>into those that use second-order probabilities and those that do not. Second Order Models (SOM) assume that decision-makers are able to attach probabilities over possible probability distribution of outcomes (or probabilities of probabilities, hence the term second-order probabilities). In contrast, the set of theories under ambiguity that are not SOM assume that decision-makers do not know the values of the relevant probabilities (or don’t make subjective judgments about the possible probabilities). These models may assume that the possible probabilities of outcomes may take a range of values in the decision-maker’s mind, but he or she does not attach probabilities to these possible values.</w:t>
      </w:r>
      <w:r w:rsidRPr="00327C48">
        <w:rPr>
          <w:rStyle w:val="FootnoteReference"/>
        </w:rPr>
        <w:footnoteReference w:id="3"/>
      </w:r>
      <w:r>
        <w:rPr>
          <w:szCs w:val="22"/>
          <w:lang w:val="en-US"/>
        </w:rPr>
        <w:t xml:space="preserve"> Among the SOMs, the </w:t>
      </w:r>
      <w:r w:rsidRPr="00CA4A3A">
        <w:rPr>
          <w:szCs w:val="22"/>
          <w:lang w:val="en-US"/>
        </w:rPr>
        <w:t>Smooth Ambiguity Model</w:t>
      </w:r>
      <w:r>
        <w:rPr>
          <w:szCs w:val="22"/>
          <w:lang w:val="en-US"/>
        </w:rPr>
        <w:t xml:space="preserve"> </w:t>
      </w:r>
      <w:r>
        <w:rPr>
          <w:szCs w:val="22"/>
          <w:lang w:val="en-US"/>
        </w:rPr>
        <w:fldChar w:fldCharType="begin"/>
      </w:r>
      <w:r>
        <w:rPr>
          <w:szCs w:val="22"/>
          <w:lang w:val="en-US"/>
        </w:rPr>
        <w:instrText xml:space="preserve"> ADDIN ZOTERO_ITEM CSL_CITATION {"citationID":"pyMuZflw","properties":{"formattedCitation":"(Klibanoff et al., 2005)","plainCitation":"(Klibanoff et al., 2005)","noteIndex":0},"citationItems":[{"id":126994,"uris":["http://zotero.org/users/14812719/items/R6ZKHIJI"],"itemData":{"id":126994,"type":"article-journal","abstract":"We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u○g), where </w:instrText>
      </w:r>
      <w:r>
        <w:rPr>
          <w:rFonts w:ascii="Cambria Math" w:hAnsi="Cambria Math" w:cs="Cambria Math"/>
          <w:szCs w:val="22"/>
          <w:lang w:val="en-US"/>
        </w:rPr>
        <w:instrText>𝔼</w:instrText>
      </w:r>
      <w:r>
        <w:rPr>
          <w:szCs w:val="22"/>
          <w:lang w:val="en-US"/>
        </w:rPr>
        <w:instrText xml:space="preserve"> is the expectation operator, u is a von Neumann–Morgenstern utility function, </w:instrText>
      </w:r>
      <w:r>
        <w:rPr>
          <w:rFonts w:hint="eastAsia"/>
          <w:szCs w:val="22"/>
          <w:lang w:val="en-US"/>
        </w:rPr>
        <w:instrText>φ</w:instrText>
      </w:r>
      <w:r>
        <w:rPr>
          <w:szCs w:val="22"/>
          <w:lang w:val="en-US"/>
        </w:rPr>
        <w:instrText xml:space="preserve">is an increasing transformation, and </w:instrText>
      </w:r>
      <w:r>
        <w:rPr>
          <w:rFonts w:hint="eastAsia"/>
          <w:szCs w:val="22"/>
          <w:lang w:val="en-US"/>
        </w:rPr>
        <w:instrText>μ</w:instrText>
      </w:r>
      <w:r>
        <w:rPr>
          <w:szCs w:val="22"/>
          <w:lang w:val="en-US"/>
        </w:rPr>
        <w:instrText xml:space="preserve">is a subjective probability over the set </w:instrText>
      </w:r>
      <w:r>
        <w:rPr>
          <w:rFonts w:hint="eastAsia"/>
          <w:szCs w:val="22"/>
          <w:lang w:val="en-US"/>
        </w:rPr>
        <w:instrText>Π</w:instrText>
      </w:r>
      <w:r>
        <w:rPr>
          <w:szCs w:val="22"/>
          <w:lang w:val="en-US"/>
        </w:rPr>
        <w:instrText xml:space="preserve">of probability measures </w:instrText>
      </w:r>
      <w:r>
        <w:rPr>
          <w:rFonts w:hint="eastAsia"/>
          <w:szCs w:val="22"/>
          <w:lang w:val="en-US"/>
        </w:rPr>
        <w:instrText>π</w:instrText>
      </w:r>
      <w:r>
        <w:rPr>
          <w:szCs w:val="22"/>
          <w:lang w:val="en-US"/>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Cs w:val="22"/>
          <w:lang w:val="en-US"/>
        </w:rPr>
        <w:instrText>φ</w:instrText>
      </w:r>
      <w:r>
        <w:rPr>
          <w:szCs w:val="22"/>
          <w:lang w:val="en-US"/>
        </w:rPr>
        <w:instrText xml:space="preserve">. Ambiguity itself is defined behaviorally and is shown to be characterized by properties of the subjective set of measures </w:instrText>
      </w:r>
      <w:r>
        <w:rPr>
          <w:rFonts w:hint="eastAsia"/>
          <w:szCs w:val="22"/>
          <w:lang w:val="en-US"/>
        </w:rPr>
        <w:instrText>Π</w:instrText>
      </w:r>
      <w:r>
        <w:rPr>
          <w:szCs w:val="22"/>
          <w:lang w:val="en-US"/>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Cs w:val="22"/>
          <w:lang w:val="en-US"/>
        </w:rPr>
        <w:fldChar w:fldCharType="separate"/>
      </w:r>
      <w:r w:rsidRPr="00C92552">
        <w:rPr>
          <w:lang w:val="en-GB"/>
        </w:rPr>
        <w:t>(Klibanoff et al., 2005)</w:t>
      </w:r>
      <w:r>
        <w:rPr>
          <w:szCs w:val="22"/>
          <w:lang w:val="en-US"/>
        </w:rPr>
        <w:fldChar w:fldCharType="end"/>
      </w:r>
      <w:r w:rsidRPr="00CA4A3A">
        <w:rPr>
          <w:szCs w:val="22"/>
          <w:lang w:val="en-US"/>
        </w:rPr>
        <w:t xml:space="preserve"> performs best at predicting decision-makers </w:t>
      </w:r>
      <w:proofErr w:type="spellStart"/>
      <w:r w:rsidRPr="00CA4A3A">
        <w:rPr>
          <w:szCs w:val="22"/>
          <w:lang w:val="en-US"/>
        </w:rPr>
        <w:t>behaviour</w:t>
      </w:r>
      <w:proofErr w:type="spellEnd"/>
      <w:r>
        <w:rPr>
          <w:szCs w:val="22"/>
          <w:lang w:val="en-US"/>
        </w:rPr>
        <w:t xml:space="preserve"> </w:t>
      </w:r>
      <w:r>
        <w:rPr>
          <w:szCs w:val="22"/>
          <w:lang w:val="en-US"/>
        </w:rPr>
        <w:fldChar w:fldCharType="begin"/>
      </w:r>
      <w:r>
        <w:rPr>
          <w:szCs w:val="22"/>
          <w:lang w:val="en-US"/>
        </w:rPr>
        <w:instrText xml:space="preserve"> ADDIN ZOTERO_ITEM CSL_CITATION {"citationID":"xyovLnv4","properties":{"formattedCitation":"(Conte &amp; Hey, 2013)","plainCitation":"(Conte &amp; Hey, 2013)","noteIndex":0},"citationItems":[{"id":127007,"uris":["http://zotero.org/users/14812719/items/BJZ2ZZFW"],"itemData":{"id":127007,"type":"article-journal","abstract":"The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Pr>
          <w:szCs w:val="22"/>
          <w:lang w:val="en-US"/>
        </w:rPr>
        <w:fldChar w:fldCharType="separate"/>
      </w:r>
      <w:r w:rsidRPr="00C92552">
        <w:rPr>
          <w:lang w:val="en-GB"/>
        </w:rPr>
        <w:t>(Conte &amp; Hey, 2013)</w:t>
      </w:r>
      <w:r>
        <w:rPr>
          <w:szCs w:val="22"/>
          <w:lang w:val="en-US"/>
        </w:rPr>
        <w:fldChar w:fldCharType="end"/>
      </w:r>
      <w:r>
        <w:rPr>
          <w:szCs w:val="22"/>
          <w:lang w:val="en-US"/>
        </w:rPr>
        <w:t xml:space="preserve">. Among the non-SOMs, </w:t>
      </w:r>
      <w:r>
        <w:rPr>
          <w:szCs w:val="22"/>
          <w:lang w:val="en-US"/>
        </w:rPr>
        <w:fldChar w:fldCharType="begin"/>
      </w:r>
      <w:r>
        <w:rPr>
          <w:szCs w:val="22"/>
          <w:lang w:val="en-US"/>
        </w:rPr>
        <w:instrText xml:space="preserve"> ADDIN ZOTERO_ITEM CSL_CITATION {"citationID":"Ffzi4hUX","properties":{"formattedCitation":"(Hey &amp; Pace, 2014)","plainCitation":"(Hey &amp; Pace, 2014)","noteIndex":0},"citationItems":[{"id":127005,"uris":["http://zotero.org/users/14812719/items/G4HZRCCZ"],"itemData":{"id":127005,"type":"article-journal","abstract":"Representing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Cs w:val="22"/>
          <w:lang w:val="en-US"/>
        </w:rPr>
        <w:fldChar w:fldCharType="separate"/>
      </w:r>
      <w:r w:rsidRPr="00C92552">
        <w:rPr>
          <w:lang w:val="en-GB"/>
        </w:rPr>
        <w:t xml:space="preserve">Hey &amp; Pace </w:t>
      </w:r>
      <w:r>
        <w:rPr>
          <w:lang w:val="en-GB"/>
        </w:rPr>
        <w:t>(</w:t>
      </w:r>
      <w:r w:rsidRPr="00C92552">
        <w:rPr>
          <w:lang w:val="en-GB"/>
        </w:rPr>
        <w:t>2014)</w:t>
      </w:r>
      <w:r>
        <w:rPr>
          <w:szCs w:val="22"/>
          <w:lang w:val="en-US"/>
        </w:rPr>
        <w:fldChar w:fldCharType="end"/>
      </w:r>
      <w:r>
        <w:rPr>
          <w:szCs w:val="22"/>
          <w:lang w:val="en-US"/>
        </w:rPr>
        <w:t xml:space="preserve"> conclude that the Vector EU model </w:t>
      </w:r>
      <w:r>
        <w:rPr>
          <w:szCs w:val="22"/>
          <w:lang w:val="en-US"/>
        </w:rPr>
        <w:fldChar w:fldCharType="begin"/>
      </w:r>
      <w:r>
        <w:rPr>
          <w:szCs w:val="22"/>
          <w:lang w:val="en-US"/>
        </w:rPr>
        <w:instrText xml:space="preserve"> ADDIN ZOTERO_ITEM CSL_CITATION {"citationID":"GuZ5Jhhe","properties":{"formattedCitation":"(Siniscalchi, 2009)","plainCitation":"(Siniscalchi, 2009)","noteIndex":0},"citationItems":[{"id":127020,"uris":["http://zotero.org/users/14812719/items/SLVF9TSU"],"itemData":{"id":127020,"type":"article-journal","abstract":"This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Cs w:val="22"/>
          <w:lang w:val="en-US"/>
        </w:rPr>
        <w:fldChar w:fldCharType="separate"/>
      </w:r>
      <w:r w:rsidRPr="00F22C22">
        <w:rPr>
          <w:lang w:val="en-GB"/>
        </w:rPr>
        <w:t>(Siniscalchi, 2009)</w:t>
      </w:r>
      <w:r>
        <w:rPr>
          <w:szCs w:val="22"/>
          <w:lang w:val="en-US"/>
        </w:rPr>
        <w:fldChar w:fldCharType="end"/>
      </w:r>
      <w:r>
        <w:rPr>
          <w:szCs w:val="22"/>
          <w:lang w:val="en-US"/>
        </w:rPr>
        <w:t xml:space="preserve"> and the Alpha EU model </w:t>
      </w:r>
      <w:r>
        <w:rPr>
          <w:szCs w:val="22"/>
          <w:lang w:val="en-US"/>
        </w:rPr>
        <w:fldChar w:fldCharType="begin"/>
      </w:r>
      <w:r>
        <w:rPr>
          <w:szCs w:val="22"/>
          <w:lang w:val="en-US"/>
        </w:rPr>
        <w:instrText xml:space="preserve"> ADDIN ZOTERO_ITEM CSL_CITATION {"citationID":"awxTQDGj","properties":{"formattedCitation":"(Ghirardato et al., 2004)","plainCitation":"(Ghirardato et al., 2004)","noteIndex":0},"citationItems":[{"id":126889,"uris":["http://zotero.org/groups/5657987/items/E59GRE8H"],"itemData":{"id":126889,"type":"article-journal","container-title":"Journal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Cs w:val="22"/>
          <w:lang w:val="en-US"/>
        </w:rPr>
        <w:fldChar w:fldCharType="separate"/>
      </w:r>
      <w:r w:rsidRPr="00F22C22">
        <w:rPr>
          <w:lang w:val="en-GB"/>
        </w:rPr>
        <w:t>(Ghirardato et al., 2004)</w:t>
      </w:r>
      <w:r>
        <w:rPr>
          <w:szCs w:val="22"/>
          <w:lang w:val="en-US"/>
        </w:rPr>
        <w:fldChar w:fldCharType="end"/>
      </w:r>
      <w:r>
        <w:rPr>
          <w:szCs w:val="22"/>
          <w:lang w:val="en-US"/>
        </w:rPr>
        <w:t xml:space="preserve"> perform better than the Subjective EU model </w:t>
      </w:r>
      <w:r>
        <w:rPr>
          <w:szCs w:val="22"/>
          <w:lang w:val="en-US"/>
        </w:rPr>
        <w:fldChar w:fldCharType="begin"/>
      </w:r>
      <w:r>
        <w:rPr>
          <w:szCs w:val="22"/>
          <w:lang w:val="en-US"/>
        </w:rPr>
        <w:instrText xml:space="preserve"> ADDIN ZOTERO_ITEM CSL_CITATION {"citationID":"qw4x2U48","properties":{"formattedCitation":"(Savage, 1954)","plainCitation":"(Savage, 1954)","noteIndex":0},"citationItems":[{"id":126885,"uris":["http://zotero.org/groups/5657987/items/VBJB9EDZ"],"itemData":{"id":126885,"type":"book","event-place":"New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Cs w:val="22"/>
          <w:lang w:val="en-US"/>
        </w:rPr>
        <w:fldChar w:fldCharType="separate"/>
      </w:r>
      <w:r w:rsidRPr="00DE0FB5">
        <w:rPr>
          <w:lang w:val="en-GB"/>
        </w:rPr>
        <w:t>(Savage, 1954)</w:t>
      </w:r>
      <w:r>
        <w:rPr>
          <w:szCs w:val="22"/>
          <w:lang w:val="en-US"/>
        </w:rPr>
        <w:fldChar w:fldCharType="end"/>
      </w:r>
      <w:r>
        <w:rPr>
          <w:szCs w:val="22"/>
          <w:lang w:val="en-US"/>
        </w:rPr>
        <w:t xml:space="preserve"> in explaining </w:t>
      </w:r>
      <w:proofErr w:type="spellStart"/>
      <w:r>
        <w:rPr>
          <w:szCs w:val="22"/>
          <w:lang w:val="en-US"/>
        </w:rPr>
        <w:t>behaviour</w:t>
      </w:r>
      <w:proofErr w:type="spellEnd"/>
      <w:r>
        <w:rPr>
          <w:szCs w:val="22"/>
          <w:lang w:val="en-US"/>
        </w:rPr>
        <w:t xml:space="preserve">, but they perform similarly when it comes to </w:t>
      </w:r>
      <w:r w:rsidRPr="00C92552">
        <w:rPr>
          <w:szCs w:val="22"/>
          <w:lang w:val="en-US"/>
        </w:rPr>
        <w:t>prediction</w:t>
      </w:r>
      <w:r>
        <w:rPr>
          <w:szCs w:val="22"/>
          <w:lang w:val="en-US"/>
        </w:rPr>
        <w:t>.</w:t>
      </w:r>
    </w:p>
    <w:p w14:paraId="0854FAB9" w14:textId="77777777" w:rsidR="00DC7523" w:rsidRDefault="00DC7523" w:rsidP="007B5DC5">
      <w:pPr>
        <w:rPr>
          <w:szCs w:val="22"/>
          <w:lang w:val="en-US"/>
        </w:rPr>
      </w:pPr>
    </w:p>
    <w:p w14:paraId="5A4DAE5A" w14:textId="727011FC" w:rsidR="00DA1D81" w:rsidRDefault="00DA1D81" w:rsidP="007B5DC5">
      <w:pPr>
        <w:rPr>
          <w:szCs w:val="22"/>
          <w:lang w:val="en-US"/>
        </w:rPr>
      </w:pPr>
      <w:r w:rsidRPr="00DA1D81">
        <w:rPr>
          <w:szCs w:val="22"/>
          <w:lang w:val="en-US"/>
        </w:rPr>
        <w:t xml:space="preserve">The second-order models assessed in Conte &amp; Hey (2013) include: EUT with compounded probabilities; the Smooth Ambiguity Model of </w:t>
      </w:r>
      <w:proofErr w:type="spellStart"/>
      <w:r w:rsidRPr="00DA1D81">
        <w:rPr>
          <w:szCs w:val="22"/>
          <w:lang w:val="en-US"/>
        </w:rPr>
        <w:t>Klibanoff</w:t>
      </w:r>
      <w:proofErr w:type="spellEnd"/>
      <w:r w:rsidRPr="00DA1D81">
        <w:rPr>
          <w:szCs w:val="22"/>
          <w:lang w:val="en-US"/>
        </w:rPr>
        <w:t xml:space="preserve"> et al. (2005); the Rank Dependent EU model of Quiggin (1982); and the Alpha EU model of Ghirardato et al. (2004). The non second-order models assessed in (Hey &amp; Pace, 2014) include: the Subjective EU model (Savage, 1954); the </w:t>
      </w:r>
      <w:proofErr w:type="spellStart"/>
      <w:r w:rsidRPr="00DA1D81">
        <w:rPr>
          <w:szCs w:val="22"/>
          <w:lang w:val="en-US"/>
        </w:rPr>
        <w:t>Choquet</w:t>
      </w:r>
      <w:proofErr w:type="spellEnd"/>
      <w:r w:rsidRPr="00DA1D81">
        <w:rPr>
          <w:szCs w:val="22"/>
          <w:lang w:val="en-US"/>
        </w:rPr>
        <w:t xml:space="preserve"> EU by (</w:t>
      </w:r>
      <w:proofErr w:type="spellStart"/>
      <w:r w:rsidRPr="00DA1D81">
        <w:rPr>
          <w:szCs w:val="22"/>
          <w:lang w:val="en-US"/>
        </w:rPr>
        <w:t>Schmeidler</w:t>
      </w:r>
      <w:proofErr w:type="spellEnd"/>
      <w:r w:rsidRPr="00DA1D81">
        <w:rPr>
          <w:szCs w:val="22"/>
          <w:lang w:val="en-US"/>
        </w:rPr>
        <w:t>, 1989); the Alpha EU model of Ghirardato et al. (2004); the Vector EU model by (</w:t>
      </w:r>
      <w:proofErr w:type="spellStart"/>
      <w:r w:rsidRPr="00DA1D81">
        <w:rPr>
          <w:szCs w:val="22"/>
          <w:lang w:val="en-US"/>
        </w:rPr>
        <w:t>Siniscalchi</w:t>
      </w:r>
      <w:proofErr w:type="spellEnd"/>
      <w:r w:rsidRPr="00DA1D81">
        <w:rPr>
          <w:szCs w:val="22"/>
          <w:lang w:val="en-US"/>
        </w:rPr>
        <w:t>, 2009); and the Contraction Model of (</w:t>
      </w:r>
      <w:proofErr w:type="spellStart"/>
      <w:r w:rsidRPr="00DA1D81">
        <w:rPr>
          <w:szCs w:val="22"/>
          <w:lang w:val="en-US"/>
        </w:rPr>
        <w:t>Gajdos</w:t>
      </w:r>
      <w:proofErr w:type="spellEnd"/>
      <w:r w:rsidRPr="00DA1D81">
        <w:rPr>
          <w:szCs w:val="22"/>
          <w:lang w:val="en-US"/>
        </w:rPr>
        <w:t xml:space="preserve"> et al., 2008). Among the SOMs, the Smooth Ambiguity Model (</w:t>
      </w:r>
      <w:proofErr w:type="spellStart"/>
      <w:r w:rsidRPr="00DA1D81">
        <w:rPr>
          <w:szCs w:val="22"/>
          <w:lang w:val="en-US"/>
        </w:rPr>
        <w:t>Klibanoff</w:t>
      </w:r>
      <w:proofErr w:type="spellEnd"/>
      <w:r w:rsidRPr="00DA1D81">
        <w:rPr>
          <w:szCs w:val="22"/>
          <w:lang w:val="en-US"/>
        </w:rPr>
        <w:t xml:space="preserve"> et al., 2005) performs best at predicting decision-makers </w:t>
      </w:r>
      <w:proofErr w:type="spellStart"/>
      <w:r w:rsidRPr="00DA1D81">
        <w:rPr>
          <w:szCs w:val="22"/>
          <w:lang w:val="en-US"/>
        </w:rPr>
        <w:t>behaviour</w:t>
      </w:r>
      <w:proofErr w:type="spellEnd"/>
      <w:r w:rsidRPr="00DA1D81">
        <w:rPr>
          <w:szCs w:val="22"/>
          <w:lang w:val="en-US"/>
        </w:rPr>
        <w:t xml:space="preserve"> (Conte &amp; Hey, 2013).</w:t>
      </w:r>
    </w:p>
    <w:p w14:paraId="6E299E1B" w14:textId="77777777" w:rsidR="00DA1D81" w:rsidRDefault="00DA1D81" w:rsidP="007B5DC5">
      <w:pPr>
        <w:rPr>
          <w:szCs w:val="22"/>
          <w:lang w:val="en-US"/>
        </w:rPr>
      </w:pPr>
    </w:p>
    <w:p w14:paraId="59E9B35B" w14:textId="77777777" w:rsidR="00AC47AE" w:rsidRDefault="00AC47AE" w:rsidP="007B5DC5">
      <w:pPr>
        <w:rPr>
          <w:szCs w:val="22"/>
          <w:lang w:val="en-US"/>
        </w:rPr>
      </w:pPr>
    </w:p>
    <w:p w14:paraId="19420A0D" w14:textId="77777777" w:rsidR="00203817" w:rsidRDefault="00203817" w:rsidP="007B5DC5">
      <w:pPr>
        <w:rPr>
          <w:szCs w:val="22"/>
          <w:lang w:val="en-US"/>
        </w:rPr>
      </w:pPr>
    </w:p>
    <w:p w14:paraId="1E074FBF" w14:textId="77777777" w:rsidR="00AC47AE" w:rsidRDefault="00AC47AE" w:rsidP="00AC47AE">
      <w:pPr>
        <w:spacing w:line="360" w:lineRule="auto"/>
        <w:jc w:val="both"/>
        <w:rPr>
          <w:szCs w:val="22"/>
          <w:lang w:val="en-US"/>
        </w:rPr>
      </w:pPr>
      <w:r>
        <w:rPr>
          <w:szCs w:val="22"/>
          <w:lang w:val="en-US"/>
        </w:rPr>
        <w:t xml:space="preserve">Considering an ambiguous context in which the farmer only knows that the probability of a loss </w:t>
      </w:r>
      <m:oMath>
        <m:r>
          <w:rPr>
            <w:rFonts w:ascii="Cambria Math" w:hAnsi="Cambria Math"/>
            <w:szCs w:val="22"/>
            <w:lang w:val="en-US"/>
          </w:rPr>
          <m:t>(p)</m:t>
        </m:r>
      </m:oMath>
      <w:r>
        <w:rPr>
          <w:szCs w:val="22"/>
          <w:lang w:val="en-US"/>
        </w:rPr>
        <w:t xml:space="preserve"> lies in a certain interval </w:t>
      </w:r>
      <m:oMath>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Pr>
          <w:szCs w:val="22"/>
          <w:lang w:val="en-US"/>
        </w:rPr>
        <w:t xml:space="preserve">, risk and ambiguity preferences are represented with the </w:t>
      </w:r>
      <m:oMath>
        <m:r>
          <m:rPr>
            <m:sty m:val="p"/>
          </m:rPr>
          <w:rPr>
            <w:rFonts w:ascii="Cambria Math" w:hAnsi="Cambria Math"/>
            <w:szCs w:val="22"/>
            <w:lang w:val="en-US"/>
          </w:rPr>
          <m:t>α</m:t>
        </m:r>
      </m:oMath>
      <w:r>
        <w:rPr>
          <w:szCs w:val="22"/>
          <w:lang w:val="en-US"/>
        </w:rPr>
        <w:t>EU model as:</w:t>
      </w:r>
    </w:p>
    <w:p w14:paraId="198B06B0" w14:textId="77777777" w:rsidR="00AC47AE" w:rsidRPr="005A3BDF" w:rsidRDefault="003C0C4F" w:rsidP="00AC47AE">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m:rPr>
                  <m:sty m:val="p"/>
                </m:rPr>
                <w:rPr>
                  <w:rFonts w:ascii="Cambria Math" w:hAnsi="Cambria Math"/>
                  <w:szCs w:val="22"/>
                  <w:lang w:val="en-US"/>
                </w:rPr>
                <m:t xml:space="preserve"> </m:t>
              </m:r>
              <m:r>
                <w:rPr>
                  <w:rFonts w:ascii="Cambria Math" w:hAnsi="Cambria Math"/>
                  <w:szCs w:val="22"/>
                  <w:lang w:val="en-US"/>
                </w:rPr>
                <m:t>EU</m:t>
              </m:r>
              <m:func>
                <m:funcPr>
                  <m:ctrlPr>
                    <w:rPr>
                      <w:rFonts w:ascii="Cambria Math" w:hAnsi="Cambria Math"/>
                      <w:i/>
                      <w:iCs/>
                    </w:rPr>
                  </m:ctrlPr>
                </m:funcPr>
                <m:fName>
                  <m:r>
                    <w:rPr>
                      <w:rFonts w:ascii="Cambria Math" w:hAnsi="Cambria Math"/>
                      <w:lang w:val="en-GB"/>
                    </w:rPr>
                    <m:t>=</m:t>
                  </m:r>
                </m:fName>
                <m:e>
                  <m:r>
                    <m:rPr>
                      <m:sty m:val="p"/>
                    </m:rPr>
                    <w:rPr>
                      <w:rFonts w:ascii="Cambria Math" w:hAnsi="Cambria Math"/>
                      <w:szCs w:val="22"/>
                      <w:lang w:val="en-US"/>
                    </w:rPr>
                    <m:t>α</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max</m:t>
                          </m:r>
                        </m:sub>
                      </m:sSub>
                    </m:sub>
                  </m:sSub>
                  <m:r>
                    <w:rPr>
                      <w:rFonts w:ascii="Cambria Math" w:hAnsi="Cambria Math"/>
                    </w:rPr>
                    <m:t>U</m:t>
                  </m:r>
                  <m:d>
                    <m:dPr>
                      <m:ctrlPr>
                        <w:rPr>
                          <w:rFonts w:ascii="Cambria Math" w:hAnsi="Cambria Math"/>
                          <w:i/>
                          <w:iCs/>
                        </w:rPr>
                      </m:ctrlPr>
                    </m:dPr>
                    <m:e>
                      <m:r>
                        <w:rPr>
                          <w:rFonts w:ascii="Cambria Math" w:hAnsi="Cambria Math"/>
                        </w:rPr>
                        <m:t>x</m:t>
                      </m:r>
                    </m:e>
                  </m:d>
                  <m:r>
                    <w:rPr>
                      <w:rFonts w:ascii="Cambria Math" w:hAnsi="Cambria Math"/>
                      <w:lang w:val="en-GB"/>
                    </w:rPr>
                    <m:t>+</m:t>
                  </m:r>
                  <m:d>
                    <m:dPr>
                      <m:ctrlPr>
                        <w:rPr>
                          <w:rFonts w:ascii="Cambria Math" w:hAnsi="Cambria Math"/>
                          <w:i/>
                        </w:rPr>
                      </m:ctrlPr>
                    </m:dPr>
                    <m:e>
                      <m:r>
                        <w:rPr>
                          <w:rFonts w:ascii="Cambria Math" w:hAnsi="Cambria Math"/>
                          <w:lang w:val="en-GB"/>
                        </w:rPr>
                        <m:t>1-</m:t>
                      </m:r>
                      <m:r>
                        <m:rPr>
                          <m:sty m:val="p"/>
                        </m:rPr>
                        <w:rPr>
                          <w:rFonts w:ascii="Cambria Math" w:hAnsi="Cambria Math"/>
                          <w:szCs w:val="22"/>
                          <w:lang w:val="en-US"/>
                        </w:rPr>
                        <m:t>α</m:t>
                      </m:r>
                      <m:ctrlPr>
                        <w:rPr>
                          <w:rFonts w:ascii="Cambria Math" w:hAnsi="Cambria Math"/>
                          <w:szCs w:val="22"/>
                          <w:lang w:val="en-US"/>
                        </w:rPr>
                      </m:ctrlPr>
                    </m:e>
                  </m:d>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min</m:t>
                          </m:r>
                        </m:sub>
                      </m:sSub>
                    </m:sub>
                  </m:sSub>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szCs w:val="22"/>
                  <w:lang w:val="en-US"/>
                </w:rPr>
                <m:t>#</m:t>
              </m:r>
              <m:d>
                <m:dPr>
                  <m:ctrlPr>
                    <w:rPr>
                      <w:rFonts w:ascii="Cambria Math" w:hAnsi="Cambria Math"/>
                      <w:i/>
                      <w:iCs/>
                    </w:rPr>
                  </m:ctrlPr>
                </m:dPr>
                <m:e>
                  <m:r>
                    <w:rPr>
                      <w:rFonts w:ascii="Cambria Math" w:hAnsi="Cambria Math"/>
                      <w:lang w:val="en-GB"/>
                    </w:rPr>
                    <m:t>12</m:t>
                  </m:r>
                </m:e>
              </m:d>
              <m:ctrlPr>
                <w:rPr>
                  <w:rFonts w:ascii="Cambria Math" w:hAnsi="Cambria Math"/>
                  <w:i/>
                  <w:szCs w:val="22"/>
                  <w:lang w:val="en-US"/>
                </w:rPr>
              </m:ctrlPr>
            </m:e>
          </m:eqArr>
        </m:oMath>
      </m:oMathPara>
    </w:p>
    <w:p w14:paraId="058C5F8A" w14:textId="77777777" w:rsidR="00AC47AE" w:rsidRDefault="00AC47AE" w:rsidP="00AC47AE">
      <w:pPr>
        <w:spacing w:line="360" w:lineRule="auto"/>
        <w:jc w:val="both"/>
        <w:rPr>
          <w:szCs w:val="22"/>
          <w:lang w:val="en-US"/>
        </w:rPr>
      </w:pPr>
      <w:r>
        <w:rPr>
          <w:szCs w:val="22"/>
          <w:lang w:val="en-US"/>
        </w:rPr>
        <w:t xml:space="preserve">Where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Pr>
          <w:szCs w:val="22"/>
          <w:lang w:val="en-US"/>
        </w:rPr>
        <w:t xml:space="preserve"> is the decision-maker ambiguity attitude.</w:t>
      </w:r>
    </w:p>
    <w:p w14:paraId="40BF6FEA" w14:textId="77777777" w:rsidR="00814B01" w:rsidRDefault="00814B01" w:rsidP="00AC47AE">
      <w:pPr>
        <w:spacing w:line="360" w:lineRule="auto"/>
        <w:jc w:val="both"/>
        <w:rPr>
          <w:szCs w:val="22"/>
          <w:lang w:val="en-US"/>
        </w:rPr>
      </w:pPr>
    </w:p>
    <w:p w14:paraId="718295ED" w14:textId="5047CFDB" w:rsidR="006379AA" w:rsidRPr="00814B01" w:rsidRDefault="00814B01" w:rsidP="00814B01">
      <w:pPr>
        <w:pStyle w:val="Heading2"/>
        <w:rPr>
          <w:lang w:val="en-US"/>
        </w:rPr>
      </w:pPr>
      <w:r>
        <w:rPr>
          <w:lang w:val="en-US"/>
        </w:rPr>
        <w:t xml:space="preserve">Adjusted </w:t>
      </w:r>
      <w:r w:rsidRPr="003C0C4F">
        <w:rPr>
          <w:lang w:val="en-GB"/>
        </w:rPr>
        <w:t>contract</w:t>
      </w:r>
      <w:r>
        <w:rPr>
          <w:lang w:val="en-US"/>
        </w:rPr>
        <w:t xml:space="preserve"> design</w:t>
      </w:r>
    </w:p>
    <w:p w14:paraId="7A203D1C" w14:textId="77777777" w:rsidR="00F877B1" w:rsidRPr="00F00A72" w:rsidRDefault="00F877B1" w:rsidP="00F877B1">
      <w:pPr>
        <w:spacing w:line="360" w:lineRule="auto"/>
        <w:jc w:val="both"/>
        <w:rPr>
          <w:lang w:val="en-GB"/>
        </w:rPr>
      </w:pPr>
      <w:r>
        <w:rPr>
          <w:lang w:val="en-GB"/>
        </w:rPr>
        <w:t xml:space="preserve">The threshold price affects both the contract cost and risk management effectiveness. We propose a low ceiling threshold, equal to the expected fertilizer price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L</m:t>
            </m:r>
          </m:sub>
        </m:sSub>
        <m:r>
          <w:rPr>
            <w:rFonts w:ascii="Cambria Math" w:hAnsi="Cambria Math" w:cs="Calibri"/>
            <w:lang w:val="en-GB"/>
          </w:rPr>
          <m:t>=E(p)</m:t>
        </m:r>
      </m:oMath>
      <w:r>
        <w:rPr>
          <w:lang w:val="en-GB"/>
        </w:rPr>
        <w:t>, and a high ceiling threshold, equal to the expected fertilizer price p</w:t>
      </w:r>
      <w:r w:rsidRPr="00470C69">
        <w:rPr>
          <w:lang w:val="en-GB"/>
        </w:rPr>
        <w:t xml:space="preserve">lus a </w:t>
      </w:r>
      <w:r>
        <w:rPr>
          <w:lang w:val="en-GB"/>
        </w:rPr>
        <w:t xml:space="preserve">market-derived </w:t>
      </w:r>
      <w:r w:rsidRPr="00470C69">
        <w:rPr>
          <w:lang w:val="en-GB"/>
        </w:rPr>
        <w:t>volatility</w:t>
      </w:r>
      <w:r>
        <w:rPr>
          <w:lang w:val="en-GB"/>
        </w:rPr>
        <w:t xml:space="preserve"> </w:t>
      </w:r>
      <w:r w:rsidRPr="00470C69">
        <w:rPr>
          <w:lang w:val="en-GB"/>
        </w:rPr>
        <w:t>margin</w:t>
      </w:r>
      <w:r>
        <w:rPr>
          <w:lang w:val="en-GB"/>
        </w:rPr>
        <w:t xml:space="preserv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H</m:t>
            </m:r>
          </m:sub>
        </m:sSub>
        <m:r>
          <w:rPr>
            <w:rFonts w:ascii="Cambria Math" w:hAnsi="Cambria Math" w:cs="Calibri"/>
            <w:lang w:val="en-GB"/>
          </w:rPr>
          <m:t>=E</m:t>
        </m:r>
        <m:d>
          <m:dPr>
            <m:ctrlPr>
              <w:rPr>
                <w:rFonts w:ascii="Cambria Math" w:hAnsi="Cambria Math" w:cs="Calibri"/>
                <w:i/>
                <w:lang w:val="en-GB"/>
              </w:rPr>
            </m:ctrlPr>
          </m:dPr>
          <m:e>
            <m:r>
              <w:rPr>
                <w:rFonts w:ascii="Cambria Math" w:hAnsi="Cambria Math" w:cs="Calibri"/>
                <w:lang w:val="en-GB"/>
              </w:rPr>
              <m:t>p</m:t>
            </m:r>
          </m:e>
        </m:d>
        <m:r>
          <w:rPr>
            <w:rFonts w:ascii="Cambria Math" w:hAnsi="Cambria Math" w:cs="Calibri"/>
            <w:lang w:val="en-GB"/>
          </w:rPr>
          <m:t>+</m:t>
        </m:r>
        <m:r>
          <m:rPr>
            <m:sty m:val="p"/>
          </m:rPr>
          <w:rPr>
            <w:rFonts w:ascii="Cambria Math" w:hAnsi="Cambria Math" w:cs="Calibri"/>
            <w:lang w:val="en-GB"/>
          </w:rPr>
          <m:t>ω</m:t>
        </m:r>
      </m:oMath>
      <w:r>
        <w:rPr>
          <w:lang w:val="en-GB"/>
        </w:rPr>
        <w:t>. The low ceiling contract offers better risk protection but comes with a higher premium, while the high ceiling contract provides less risk mitigation but lower cost.</w:t>
      </w:r>
    </w:p>
    <w:p w14:paraId="5B0F6F21" w14:textId="77777777" w:rsidR="00F877B1" w:rsidRPr="00F877B1" w:rsidRDefault="00F877B1" w:rsidP="00AC47AE">
      <w:pPr>
        <w:spacing w:line="360" w:lineRule="auto"/>
        <w:jc w:val="both"/>
        <w:rPr>
          <w:szCs w:val="22"/>
          <w:lang w:val="en-GB"/>
        </w:rPr>
      </w:pPr>
    </w:p>
    <w:p w14:paraId="4D71332C" w14:textId="77777777" w:rsidR="00F877B1" w:rsidRDefault="00F877B1" w:rsidP="00AC47AE">
      <w:pPr>
        <w:spacing w:line="360" w:lineRule="auto"/>
        <w:jc w:val="both"/>
        <w:rPr>
          <w:szCs w:val="22"/>
          <w:lang w:val="en-US"/>
        </w:rPr>
      </w:pPr>
    </w:p>
    <w:p w14:paraId="4475E6B3" w14:textId="77777777" w:rsidR="00F877B1" w:rsidRDefault="00F877B1" w:rsidP="00AC47AE">
      <w:pPr>
        <w:spacing w:line="360" w:lineRule="auto"/>
        <w:jc w:val="both"/>
        <w:rPr>
          <w:szCs w:val="22"/>
          <w:lang w:val="en-US"/>
        </w:rPr>
      </w:pPr>
    </w:p>
    <w:p w14:paraId="79D5441A" w14:textId="77777777" w:rsidR="006379AA" w:rsidRDefault="006379AA" w:rsidP="006379AA">
      <w:pPr>
        <w:pStyle w:val="Heading2"/>
        <w:rPr>
          <w:lang w:val="en-US"/>
        </w:rPr>
      </w:pPr>
      <w:r>
        <w:rPr>
          <w:lang w:val="en-US"/>
        </w:rPr>
        <w:t>Adjusted c</w:t>
      </w:r>
      <w:r w:rsidRPr="00FF28A2">
        <w:rPr>
          <w:lang w:val="en-US"/>
        </w:rPr>
        <w:t>ontract pricing</w:t>
      </w:r>
      <w:r>
        <w:rPr>
          <w:lang w:val="en-US"/>
        </w:rPr>
        <w:t xml:space="preserve"> </w:t>
      </w:r>
    </w:p>
    <w:p w14:paraId="05A29980" w14:textId="77777777" w:rsidR="006379AA" w:rsidRDefault="006379AA" w:rsidP="006379AA">
      <w:pPr>
        <w:spacing w:line="360" w:lineRule="auto"/>
        <w:jc w:val="both"/>
        <w:rPr>
          <w:lang w:val="en-US"/>
        </w:rPr>
      </w:pPr>
      <w:r>
        <w:rPr>
          <w:lang w:val="en-US"/>
        </w:rPr>
        <w:t xml:space="preserve">We model the adjusted contract as an European call option. This allows us to employ an option pricing methodology to derive the contract cost. Since the classical Black-Scholes model does not represent fertilizers market behavior very well (e.g. the volatility clustering and skewness of price movements) we use the </w:t>
      </w:r>
      <w:commentRangeStart w:id="4"/>
      <w:r>
        <w:rPr>
          <w:lang w:val="en-US"/>
        </w:rPr>
        <w:t xml:space="preserve">Heston model </w:t>
      </w:r>
      <w:commentRangeEnd w:id="4"/>
      <w:r>
        <w:rPr>
          <w:rStyle w:val="CommentReference"/>
        </w:rPr>
        <w:commentReference w:id="4"/>
      </w:r>
      <w:r>
        <w:rPr>
          <w:lang w:val="en-US"/>
        </w:rPr>
        <w:fldChar w:fldCharType="begin"/>
      </w:r>
      <w:r>
        <w:rPr>
          <w:lang w:val="en-US"/>
        </w:rPr>
        <w:instrText xml:space="preserve"> ADDIN ZOTERO_ITEM CSL_CITATION {"citationID":"bHpu7kQW","properties":{"formattedCitation":"(Heston, 1993)","plainCitation":"(Heston, 1993)","noteIndex":0},"citationItems":[{"id":127085,"uris":["http://zotero.org/users/14812719/items/XLV7FKNG"],"itemData":{"id":127085,"type":"article-journal","abstract":"I use a new technique to derive a closed-form solution for the price of a European call option on an asset with stochastic volatility. The model allows arbitrary correlation between volatility and spot-asset returns. I introduce stochastic interest rates and show how to apply the model to bond options and foreign currency options. Simulations show that correlation between volatility and the spot asset's price is important for explaining return skewness and strike-price biases in the Black-Scholes (1973) model. The solution technique is based on characteristic functions and can be applied to other problems","container-title":"The Review of Financial Studies","DOI":"10.1093/rfs/6.2.327","ISSN":"0893-9454","issue":"2","journalAbbreviation":"Rev Financ Stud","page":"327-343","source":"Silverchair","title":"A Closed-Form Solution for Options with Stochastic Volatility with Applications to Bond and Currency Options","volume":"6","author":[{"family":"Heston","given":"Steven L."}],"issued":{"date-parts":[["1993",4,1]]}}}],"schema":"https://github.com/citation-style-language/schema/raw/master/csl-citation.json"} </w:instrText>
      </w:r>
      <w:r>
        <w:rPr>
          <w:lang w:val="en-US"/>
        </w:rPr>
        <w:fldChar w:fldCharType="separate"/>
      </w:r>
      <w:r w:rsidRPr="006A6CB1">
        <w:rPr>
          <w:lang w:val="en-GB"/>
        </w:rPr>
        <w:t>(Heston, 1993)</w:t>
      </w:r>
      <w:r>
        <w:rPr>
          <w:lang w:val="en-US"/>
        </w:rPr>
        <w:fldChar w:fldCharType="end"/>
      </w:r>
      <w:r>
        <w:rPr>
          <w:lang w:val="en-US"/>
        </w:rPr>
        <w:t xml:space="preserve"> that overcomes this issue. The Heston stochastic volatility model assumes that both the price and the variance of the commodity follow a stochastic process as in Eq. (22a-b), and that the underlying Brownian motions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oMath>
      <w:r>
        <w:rPr>
          <w:lang w:val="en-US"/>
        </w:rPr>
        <w:t xml:space="preserve"> have a correlation of </w:t>
      </w:r>
      <m:oMath>
        <m:r>
          <w:rPr>
            <w:rFonts w:ascii="Cambria Math" w:hAnsi="Cambria Math"/>
            <w:lang w:val="en-US"/>
          </w:rPr>
          <m:t>ρ</m:t>
        </m:r>
      </m:oMath>
      <w:r>
        <w:rPr>
          <w:lang w:val="en-US"/>
        </w:rPr>
        <w:t xml:space="preserve">:  </w:t>
      </w:r>
    </w:p>
    <w:p w14:paraId="49E7874F" w14:textId="77777777" w:rsidR="006379AA" w:rsidRDefault="003C0C4F"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=b</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dt+</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e>
              </m:rad>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22a</m:t>
                  </m:r>
                </m:e>
              </m:d>
            </m:e>
          </m:eqArr>
        </m:oMath>
      </m:oMathPara>
    </w:p>
    <w:p w14:paraId="523ECA4C" w14:textId="77777777" w:rsidR="006379AA" w:rsidRPr="0074276A" w:rsidRDefault="003C0C4F"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=κ</m:t>
              </m:r>
              <m:r>
                <m:rPr>
                  <m:sty m:val="p"/>
                </m:rPr>
                <w:rPr>
                  <w:rFonts w:ascii="Cambria Math" w:hAnsi="Cambria Math"/>
                  <w:lang w:val="en-US"/>
                </w:rPr>
                <m:t>(</m:t>
              </m:r>
              <m:r>
                <w:rPr>
                  <w:rFonts w:ascii="Cambria Math" w:hAnsi="Cambria Math"/>
                  <w:lang w:val="en-US"/>
                </w:rPr>
                <m:t>θ-</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)dt+σ</m:t>
              </m:r>
              <m:rad>
                <m:radPr>
                  <m:degHide m:val="1"/>
                  <m:ctrlPr>
                    <w:rPr>
                      <w:rFonts w:ascii="Cambria Math" w:hAnsi="Cambria Math"/>
                      <w:lang w:val="en-US"/>
                    </w:rPr>
                  </m:ctrlPr>
                </m:radPr>
                <m:deg>
                  <m:ctrlPr>
                    <w:rPr>
                      <w:rFonts w:ascii="Cambria Math" w:hAnsi="Cambria Math"/>
                      <w:i/>
                      <w:lang w:val="en-US"/>
                    </w:rPr>
                  </m:ctrlPr>
                </m:deg>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e>
              </m:rad>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22b</m:t>
                  </m:r>
                </m:e>
              </m:d>
            </m:e>
          </m:eqArr>
        </m:oMath>
      </m:oMathPara>
    </w:p>
    <w:p w14:paraId="4DE3B554" w14:textId="77777777" w:rsidR="006379AA" w:rsidRPr="00DC1E1A" w:rsidRDefault="003C0C4F"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=ρdt#</m:t>
              </m:r>
              <m:d>
                <m:dPr>
                  <m:ctrlPr>
                    <w:rPr>
                      <w:rFonts w:ascii="Cambria Math" w:hAnsi="Cambria Math"/>
                      <w:i/>
                      <w:lang w:val="en-US"/>
                    </w:rPr>
                  </m:ctrlPr>
                </m:dPr>
                <m:e>
                  <m:r>
                    <w:rPr>
                      <w:rFonts w:ascii="Cambria Math" w:hAnsi="Cambria Math"/>
                      <w:lang w:val="en-US"/>
                    </w:rPr>
                    <m:t>22</m:t>
                  </m:r>
                  <m:r>
                    <m:rPr>
                      <m:sty m:val="p"/>
                    </m:rPr>
                    <w:rPr>
                      <w:rFonts w:ascii="Cambria Math" w:hAnsi="Cambria Math"/>
                      <w:lang w:val="en-US"/>
                    </w:rPr>
                    <m:t>c</m:t>
                  </m:r>
                </m:e>
              </m:d>
            </m:e>
          </m:eqArr>
        </m:oMath>
      </m:oMathPara>
    </w:p>
    <w:p w14:paraId="33B02AB0" w14:textId="77777777" w:rsidR="006379AA" w:rsidRDefault="006379AA" w:rsidP="006379AA">
      <w:pPr>
        <w:spacing w:line="360" w:lineRule="auto"/>
        <w:jc w:val="both"/>
        <w:rPr>
          <w:lang w:val="en-US"/>
        </w:rPr>
      </w:pPr>
      <w:r>
        <w:rPr>
          <w:lang w:val="en-US"/>
        </w:rPr>
        <w:t xml:space="preserve">where </w:t>
      </w:r>
      <m:oMath>
        <m:r>
          <w:rPr>
            <w:rFonts w:ascii="Cambria Math" w:hAnsi="Cambria Math"/>
            <w:lang w:val="en-US"/>
          </w:rPr>
          <m:t>b</m:t>
        </m:r>
      </m:oMath>
      <w:r>
        <w:rPr>
          <w:lang w:val="en-US"/>
        </w:rPr>
        <w:t xml:space="preserve"> denotes the price drift; </w:t>
      </w:r>
      <m:oMath>
        <m:r>
          <w:rPr>
            <w:rFonts w:ascii="Cambria Math" w:hAnsi="Cambria Math"/>
            <w:lang w:val="en-US"/>
          </w:rPr>
          <m:t>κ</m:t>
        </m:r>
      </m:oMath>
      <w:r>
        <w:rPr>
          <w:lang w:val="en-US"/>
        </w:rPr>
        <w:t xml:space="preserve"> the speed of mean reversion to the mean level </w:t>
      </w:r>
      <m:oMath>
        <m:r>
          <w:rPr>
            <w:rFonts w:ascii="Cambria Math" w:hAnsi="Cambria Math"/>
            <w:lang w:val="en-US"/>
          </w:rPr>
          <m:t>θ</m:t>
        </m:r>
      </m:oMath>
      <w:r>
        <w:rPr>
          <w:lang w:val="en-US"/>
        </w:rPr>
        <w:t xml:space="preserve">; and </w:t>
      </w:r>
      <m:oMath>
        <m:r>
          <w:rPr>
            <w:rFonts w:ascii="Cambria Math" w:hAnsi="Cambria Math"/>
            <w:lang w:val="en-US"/>
          </w:rPr>
          <m:t>σ</m:t>
        </m:r>
      </m:oMath>
      <w:r>
        <w:rPr>
          <w:lang w:val="en-US"/>
        </w:rPr>
        <w:t xml:space="preserve"> the volatility of the variance. Based on these assumptions, it is possible to derive a closed price formula for the European call option: </w:t>
      </w:r>
    </w:p>
    <w:p w14:paraId="08626D3F" w14:textId="77777777" w:rsidR="006379AA" w:rsidRPr="00C952E5" w:rsidRDefault="003C0C4F" w:rsidP="006379AA">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sSub>
                <m:sSubPr>
                  <m:ctrlPr>
                    <w:rPr>
                      <w:rFonts w:ascii="Cambria Math" w:hAnsi="Cambria Math" w:cs="Calibri"/>
                      <w:lang w:val="en-GB"/>
                    </w:rPr>
                  </m:ctrlPr>
                </m:sSub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cs="Calibri"/>
                      <w:lang w:val="en-GB"/>
                    </w:rPr>
                    <m:t>P</m:t>
                  </m:r>
                </m:e>
                <m:sub>
                  <m:r>
                    <m:rPr>
                      <m:sty m:val="p"/>
                    </m:rPr>
                    <w:rPr>
                      <w:rFonts w:ascii="Cambria Math" w:hAnsi="Cambria Math" w:cs="Calibri"/>
                      <w:lang w:val="en-GB"/>
                    </w:rPr>
                    <m:t>1</m:t>
                  </m:r>
                </m:sub>
              </m:sSub>
              <m:r>
                <m:rPr>
                  <m:sty m:val="p"/>
                </m:rPr>
                <w:rPr>
                  <w:rFonts w:ascii="Cambria Math" w:hAnsi="Cambria Math" w:cs="Calibri"/>
                  <w:lang w:val="en-GB"/>
                </w:rPr>
                <m:t>-k</m:t>
              </m:r>
              <m:sSup>
                <m:sSupPr>
                  <m:ctrlPr>
                    <w:rPr>
                      <w:rFonts w:ascii="Cambria Math" w:hAnsi="Cambria Math" w:cs="Calibri"/>
                      <w:lang w:val="en-GB"/>
                    </w:rPr>
                  </m:ctrlPr>
                </m:sSupPr>
                <m:e>
                  <m:r>
                    <w:rPr>
                      <w:rFonts w:ascii="Cambria Math" w:hAnsi="Cambria Math" w:cs="Calibri"/>
                      <w:lang w:val="en-GB"/>
                    </w:rPr>
                    <m:t>e</m:t>
                  </m:r>
                </m:e>
                <m:sup>
                  <m:r>
                    <m:rPr>
                      <m:sty m:val="p"/>
                    </m:rPr>
                    <w:rPr>
                      <w:rFonts w:ascii="Cambria Math" w:hAnsi="Cambria Math" w:cs="Calibri"/>
                      <w:lang w:val="en-GB"/>
                    </w:rPr>
                    <m:t>-</m:t>
                  </m:r>
                  <m:r>
                    <w:rPr>
                      <w:rFonts w:ascii="Cambria Math" w:hAnsi="Cambria Math" w:cs="Calibri"/>
                      <w:lang w:val="en-GB"/>
                    </w:rPr>
                    <m:t>r</m:t>
                  </m:r>
                  <m:d>
                    <m:dPr>
                      <m:ctrlPr>
                        <w:rPr>
                          <w:rFonts w:ascii="Cambria Math" w:hAnsi="Cambria Math" w:cs="Calibri"/>
                          <w:i/>
                          <w:iCs/>
                          <w:lang w:val="en-GB"/>
                        </w:rPr>
                      </m:ctrlPr>
                    </m:dPr>
                    <m:e>
                      <m:r>
                        <w:rPr>
                          <w:rFonts w:ascii="Cambria Math" w:hAnsi="Cambria Math" w:cs="Calibri"/>
                          <w:lang w:val="en-GB"/>
                        </w:rPr>
                        <m:t>T-t</m:t>
                      </m:r>
                    </m:e>
                  </m:d>
                </m:sup>
              </m:sSup>
              <m:sSub>
                <m:sSubPr>
                  <m:ctrlPr>
                    <w:rPr>
                      <w:rFonts w:ascii="Cambria Math" w:hAnsi="Cambria Math" w:cs="Calibri"/>
                      <w:lang w:val="en-GB"/>
                    </w:rPr>
                  </m:ctrlPr>
                </m:sSubPr>
                <m:e>
                  <m:r>
                    <w:rPr>
                      <w:rFonts w:ascii="Cambria Math" w:hAnsi="Cambria Math" w:cs="Calibri"/>
                      <w:lang w:val="en-GB"/>
                    </w:rPr>
                    <m:t>P</m:t>
                  </m:r>
                </m:e>
                <m:sub>
                  <m:r>
                    <m:rPr>
                      <m:sty m:val="p"/>
                    </m:rPr>
                    <w:rPr>
                      <w:rFonts w:ascii="Cambria Math" w:hAnsi="Cambria Math" w:cs="Calibri"/>
                      <w:lang w:val="en-GB"/>
                    </w:rPr>
                    <m:t>2</m:t>
                  </m:r>
                </m:sub>
              </m:sSub>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4305AC0E" w14:textId="77777777" w:rsidR="006379AA" w:rsidRDefault="006379AA" w:rsidP="006379AA">
      <w:pPr>
        <w:spacing w:line="360" w:lineRule="auto"/>
        <w:jc w:val="both"/>
        <w:rPr>
          <w:lang w:val="en-GB"/>
        </w:rPr>
      </w:pPr>
      <w:r>
        <w:rPr>
          <w:lang w:val="en-GB"/>
        </w:rPr>
        <w:t xml:space="preserve">where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1</m:t>
            </m:r>
          </m:sub>
        </m:sSub>
      </m:oMath>
      <w:r>
        <w:rPr>
          <w:lang w:val="en-GB"/>
        </w:rPr>
        <w:t xml:space="preserve"> and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2</m:t>
            </m:r>
          </m:sub>
        </m:sSub>
      </m:oMath>
      <w:r>
        <w:rPr>
          <w:lang w:val="en-GB"/>
        </w:rPr>
        <w:t xml:space="preserve"> describe the probabilities that the stock finishes above the strike </w:t>
      </w:r>
      <m:oMath>
        <m:r>
          <w:rPr>
            <w:rFonts w:ascii="Cambria Math" w:hAnsi="Cambria Math"/>
            <w:lang w:val="en-GB"/>
          </w:rPr>
          <m:t>(k)</m:t>
        </m:r>
      </m:oMath>
      <w:r>
        <w:rPr>
          <w:lang w:val="en-GB"/>
        </w:rPr>
        <w:t xml:space="preserve">. These probabilities can be retrieved by the inverse Fourier transforms of their characteristic function. </w:t>
      </w:r>
    </w:p>
    <w:p w14:paraId="5DD61AF6" w14:textId="77777777" w:rsidR="006379AA" w:rsidRPr="006379AA" w:rsidRDefault="006379AA" w:rsidP="00AC47AE">
      <w:pPr>
        <w:spacing w:line="360" w:lineRule="auto"/>
        <w:jc w:val="both"/>
        <w:rPr>
          <w:szCs w:val="22"/>
          <w:lang w:val="en-GB"/>
        </w:rPr>
      </w:pPr>
    </w:p>
    <w:p w14:paraId="27F3A28B" w14:textId="3CCE6278" w:rsidR="00327C48" w:rsidRDefault="00327C48">
      <w:pPr>
        <w:spacing w:after="160" w:line="259" w:lineRule="auto"/>
        <w:rPr>
          <w:rFonts w:eastAsiaTheme="majorEastAsia" w:cstheme="majorBidi"/>
          <w:sz w:val="32"/>
          <w:szCs w:val="32"/>
          <w:lang w:val="en-US"/>
        </w:rPr>
      </w:pPr>
      <w:r>
        <w:rPr>
          <w:lang w:val="en-US"/>
        </w:rPr>
        <w:br w:type="page"/>
      </w:r>
    </w:p>
    <w:p w14:paraId="5125C85F" w14:textId="77777777" w:rsidR="00327C48" w:rsidRPr="005E7EDB" w:rsidRDefault="00327C48" w:rsidP="00327C48">
      <w:pPr>
        <w:pStyle w:val="Heading1"/>
        <w:numPr>
          <w:ilvl w:val="0"/>
          <w:numId w:val="0"/>
        </w:numPr>
        <w:spacing w:line="360" w:lineRule="auto"/>
        <w:rPr>
          <w:lang w:val="en-US"/>
        </w:rPr>
      </w:pPr>
      <w:r>
        <w:rPr>
          <w:lang w:val="en-US"/>
        </w:rPr>
        <w:lastRenderedPageBreak/>
        <w:t>Data</w:t>
      </w:r>
    </w:p>
    <w:p w14:paraId="3184C76B" w14:textId="77777777" w:rsidR="00327C48" w:rsidRDefault="00327C48" w:rsidP="00327C48">
      <w:pPr>
        <w:pStyle w:val="ListParagraph"/>
        <w:numPr>
          <w:ilvl w:val="0"/>
          <w:numId w:val="9"/>
        </w:numPr>
        <w:spacing w:after="120" w:line="360" w:lineRule="auto"/>
        <w:rPr>
          <w:lang w:val="en-GB"/>
        </w:rPr>
      </w:pPr>
      <w:r w:rsidRPr="005E7EDB">
        <w:rPr>
          <w:lang w:val="en-GB"/>
        </w:rPr>
        <w:t>World Bank Commodity prices (urea), monthly data (Pink Sheet)</w:t>
      </w:r>
    </w:p>
    <w:p w14:paraId="4DE324B8" w14:textId="77777777" w:rsidR="00327C48" w:rsidRPr="005E7EDB" w:rsidRDefault="00327C48" w:rsidP="00327C48">
      <w:pPr>
        <w:pStyle w:val="ListParagraph"/>
        <w:numPr>
          <w:ilvl w:val="0"/>
          <w:numId w:val="9"/>
        </w:numPr>
        <w:spacing w:after="120" w:line="360" w:lineRule="auto"/>
        <w:rPr>
          <w:lang w:val="en-GB"/>
        </w:rPr>
      </w:pPr>
      <w:r w:rsidRPr="005E7EDB">
        <w:rPr>
          <w:lang w:val="en-US"/>
        </w:rPr>
        <w:t xml:space="preserve">EC [EUROSTAT] </w:t>
      </w:r>
      <w:r w:rsidRPr="000E2577">
        <w:rPr>
          <w:rFonts w:ascii="Wingdings" w:eastAsia="Wingdings" w:hAnsi="Wingdings" w:cs="Wingdings"/>
          <w:lang w:val="en-US"/>
        </w:rPr>
        <w:t>à</w:t>
      </w:r>
      <w:r w:rsidRPr="005E7EDB">
        <w:rPr>
          <w:lang w:val="en-US"/>
        </w:rPr>
        <w:t xml:space="preserve"> </w:t>
      </w:r>
      <w:hyperlink r:id="rId13" w:history="1">
        <w:r w:rsidRPr="005E7EDB">
          <w:rPr>
            <w:rStyle w:val="Hyperlink"/>
            <w:lang w:val="en-US"/>
          </w:rPr>
          <w:t>fertilizer prices</w:t>
        </w:r>
      </w:hyperlink>
      <w:r w:rsidRPr="005E7EDB">
        <w:rPr>
          <w:lang w:val="en-US"/>
        </w:rPr>
        <w:t xml:space="preserve"> (</w:t>
      </w:r>
      <w:proofErr w:type="spellStart"/>
      <w:r w:rsidRPr="005E7EDB">
        <w:rPr>
          <w:lang w:val="en-US"/>
        </w:rPr>
        <w:t>eur</w:t>
      </w:r>
      <w:proofErr w:type="spellEnd"/>
      <w:r w:rsidRPr="005E7EDB">
        <w:rPr>
          <w:lang w:val="en-US"/>
        </w:rPr>
        <w:t>/</w:t>
      </w:r>
      <w:proofErr w:type="spellStart"/>
      <w:r w:rsidRPr="005E7EDB">
        <w:rPr>
          <w:lang w:val="en-US"/>
        </w:rPr>
        <w:t>tonne</w:t>
      </w:r>
      <w:proofErr w:type="spellEnd"/>
      <w:r w:rsidRPr="005E7EDB">
        <w:rPr>
          <w:lang w:val="en-US"/>
        </w:rPr>
        <w:t xml:space="preserve">) [Monthly] </w:t>
      </w:r>
    </w:p>
    <w:p w14:paraId="1E04804F" w14:textId="77777777" w:rsidR="00327C48" w:rsidRPr="005B1B70" w:rsidRDefault="003C0C4F" w:rsidP="00327C48">
      <w:pPr>
        <w:spacing w:line="360" w:lineRule="auto"/>
        <w:rPr>
          <w:lang w:val="en-US"/>
        </w:rPr>
      </w:pPr>
      <w:hyperlink r:id="rId14" w:anchor="tab_urea_46" w:history="1">
        <w:r w:rsidR="00327C48" w:rsidRPr="00B523A0">
          <w:rPr>
            <w:rStyle w:val="Hyperlink"/>
            <w:lang w:val="en-US"/>
          </w:rPr>
          <w:t>https://teseo.clal.it/?section=fertilizzanti_torino#tab_urea_46</w:t>
        </w:r>
      </w:hyperlink>
      <w:r w:rsidR="00327C48">
        <w:rPr>
          <w:lang w:val="en-US"/>
        </w:rPr>
        <w:t xml:space="preserve"> </w:t>
      </w:r>
    </w:p>
    <w:p w14:paraId="63A075A8" w14:textId="77777777" w:rsidR="005B1A69" w:rsidRDefault="005B1A69" w:rsidP="005B1A69">
      <w:pPr>
        <w:rPr>
          <w:lang w:val="en-US"/>
        </w:rPr>
      </w:pPr>
    </w:p>
    <w:p w14:paraId="31A62409" w14:textId="77777777" w:rsidR="009114C8" w:rsidRDefault="009114C8" w:rsidP="005B1A69">
      <w:pPr>
        <w:rPr>
          <w:lang w:val="en-US"/>
        </w:rPr>
      </w:pPr>
    </w:p>
    <w:p w14:paraId="6BED6298" w14:textId="77777777" w:rsidR="009114C8" w:rsidRDefault="009114C8" w:rsidP="009114C8">
      <w:pPr>
        <w:pStyle w:val="papertitle"/>
        <w:shd w:val="clear" w:color="auto" w:fill="FFFFFF"/>
        <w:spacing w:before="72" w:beforeAutospacing="0" w:after="48" w:afterAutospacing="0"/>
        <w:ind w:left="24" w:right="24"/>
        <w:rPr>
          <w:rFonts w:ascii="Arial" w:hAnsi="Arial" w:cs="Arial"/>
          <w:b/>
          <w:bCs/>
          <w:color w:val="903000"/>
          <w:sz w:val="18"/>
          <w:szCs w:val="18"/>
        </w:rPr>
      </w:pPr>
      <w:proofErr w:type="spellStart"/>
      <w:r>
        <w:rPr>
          <w:rFonts w:ascii="Arial" w:hAnsi="Arial" w:cs="Arial"/>
          <w:b/>
          <w:bCs/>
          <w:color w:val="903000"/>
          <w:sz w:val="18"/>
          <w:szCs w:val="18"/>
        </w:rPr>
        <w:t>Behavioral</w:t>
      </w:r>
      <w:proofErr w:type="spellEnd"/>
      <w:r>
        <w:rPr>
          <w:rFonts w:ascii="Arial" w:hAnsi="Arial" w:cs="Arial"/>
          <w:b/>
          <w:bCs/>
          <w:color w:val="903000"/>
          <w:sz w:val="18"/>
          <w:szCs w:val="18"/>
        </w:rPr>
        <w:t xml:space="preserve"> Input Price Risk Management Tools</w:t>
      </w:r>
    </w:p>
    <w:p w14:paraId="0CEC574F" w14:textId="77777777" w:rsidR="009114C8" w:rsidRDefault="009114C8" w:rsidP="009114C8">
      <w:pPr>
        <w:pStyle w:val="papersymposiumauthors"/>
        <w:shd w:val="clear" w:color="auto" w:fill="FFFFFF"/>
        <w:spacing w:before="0" w:beforeAutospacing="0" w:after="24" w:afterAutospacing="0"/>
        <w:ind w:left="24" w:right="24"/>
        <w:rPr>
          <w:rFonts w:ascii="Arial" w:hAnsi="Arial" w:cs="Arial"/>
          <w:color w:val="000000"/>
          <w:sz w:val="16"/>
          <w:szCs w:val="16"/>
        </w:rPr>
      </w:pPr>
      <w:r>
        <w:rPr>
          <w:rStyle w:val="papersymposiumauthor"/>
          <w:rFonts w:ascii="Arial" w:hAnsi="Arial" w:cs="Arial"/>
          <w:b/>
          <w:bCs/>
          <w:color w:val="000000"/>
          <w:sz w:val="16"/>
          <w:szCs w:val="16"/>
          <w:u w:val="single"/>
        </w:rPr>
        <w:t>Riccardo Spada</w:t>
      </w:r>
      <w:r>
        <w:rPr>
          <w:rStyle w:val="papersymposiumauthor"/>
          <w:rFonts w:ascii="Arial" w:hAnsi="Arial" w:cs="Arial"/>
          <w:b/>
          <w:bCs/>
          <w:color w:val="000000"/>
          <w:sz w:val="16"/>
          <w:szCs w:val="16"/>
          <w:vertAlign w:val="superscript"/>
        </w:rPr>
        <w:t>1</w:t>
      </w:r>
      <w:r>
        <w:rPr>
          <w:rStyle w:val="papersymposiumauthor"/>
          <w:rFonts w:ascii="Arial" w:hAnsi="Arial" w:cs="Arial"/>
          <w:b/>
          <w:bCs/>
          <w:color w:val="000000"/>
          <w:sz w:val="16"/>
          <w:szCs w:val="16"/>
        </w:rPr>
        <w:t>, Emilia Mattsson</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Simone Cerroni</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Laura Moritz</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Jens Rommel</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Tobias Dalhaus</w:t>
      </w:r>
      <w:r>
        <w:rPr>
          <w:rStyle w:val="papersymposiumauthor"/>
          <w:rFonts w:ascii="Arial" w:hAnsi="Arial" w:cs="Arial"/>
          <w:b/>
          <w:bCs/>
          <w:color w:val="000000"/>
          <w:sz w:val="16"/>
          <w:szCs w:val="16"/>
          <w:vertAlign w:val="superscript"/>
        </w:rPr>
        <w:t>1</w:t>
      </w:r>
      <w:r>
        <w:rPr>
          <w:rFonts w:ascii="Arial" w:hAnsi="Arial" w:cs="Arial"/>
          <w:color w:val="000000"/>
          <w:sz w:val="16"/>
          <w:szCs w:val="16"/>
        </w:rPr>
        <w:br/>
      </w:r>
      <w:r>
        <w:rPr>
          <w:rStyle w:val="papersymposumorganisation"/>
          <w:rFonts w:ascii="Arial" w:hAnsi="Arial" w:cs="Arial"/>
          <w:color w:val="000000"/>
          <w:sz w:val="16"/>
          <w:szCs w:val="16"/>
          <w:vertAlign w:val="superscript"/>
        </w:rPr>
        <w:t>1</w:t>
      </w:r>
      <w:r>
        <w:rPr>
          <w:rStyle w:val="papersymposumorganisation"/>
          <w:rFonts w:ascii="Arial" w:hAnsi="Arial" w:cs="Arial"/>
          <w:color w:val="000000"/>
          <w:sz w:val="16"/>
          <w:szCs w:val="16"/>
        </w:rPr>
        <w:t>Wageningen University and Research, Wageningen, The Netherlands, </w:t>
      </w:r>
      <w:r>
        <w:rPr>
          <w:rStyle w:val="papersymposumorganisation"/>
          <w:rFonts w:ascii="Arial" w:hAnsi="Arial" w:cs="Arial"/>
          <w:color w:val="000000"/>
          <w:sz w:val="16"/>
          <w:szCs w:val="16"/>
          <w:vertAlign w:val="superscript"/>
        </w:rPr>
        <w:t>2</w:t>
      </w:r>
      <w:r>
        <w:rPr>
          <w:rStyle w:val="papersymposumorganisation"/>
          <w:rFonts w:ascii="Arial" w:hAnsi="Arial" w:cs="Arial"/>
          <w:color w:val="000000"/>
          <w:sz w:val="16"/>
          <w:szCs w:val="16"/>
        </w:rPr>
        <w:t>, Swedish University of Agricultural Sciences, Uppsala, Sweden, </w:t>
      </w:r>
      <w:r>
        <w:rPr>
          <w:rStyle w:val="papersymposumorganisation"/>
          <w:rFonts w:ascii="Arial" w:hAnsi="Arial" w:cs="Arial"/>
          <w:color w:val="000000"/>
          <w:sz w:val="16"/>
          <w:szCs w:val="16"/>
          <w:vertAlign w:val="superscript"/>
        </w:rPr>
        <w:t>3</w:t>
      </w:r>
      <w:r>
        <w:rPr>
          <w:rStyle w:val="papersymposumorganisation"/>
          <w:rFonts w:ascii="Arial" w:hAnsi="Arial" w:cs="Arial"/>
          <w:color w:val="000000"/>
          <w:sz w:val="16"/>
          <w:szCs w:val="16"/>
        </w:rPr>
        <w:t>University of Trento, Trento, Italy</w:t>
      </w:r>
    </w:p>
    <w:p w14:paraId="61DE2F5D" w14:textId="77777777" w:rsidR="009114C8" w:rsidRDefault="009114C8" w:rsidP="009114C8">
      <w:pPr>
        <w:pStyle w:val="paperabstract"/>
        <w:shd w:val="clear" w:color="auto" w:fill="FFFFFF"/>
        <w:spacing w:before="72" w:beforeAutospacing="0" w:after="48" w:afterAutospacing="0"/>
        <w:ind w:left="24" w:right="24"/>
        <w:jc w:val="both"/>
        <w:rPr>
          <w:rFonts w:ascii="Arial" w:hAnsi="Arial" w:cs="Arial"/>
          <w:color w:val="000000"/>
          <w:sz w:val="16"/>
          <w:szCs w:val="16"/>
        </w:rPr>
      </w:pPr>
      <w:r>
        <w:rPr>
          <w:rFonts w:ascii="Arial" w:hAnsi="Arial" w:cs="Arial"/>
          <w:color w:val="000000"/>
          <w:sz w:val="16"/>
          <w:szCs w:val="16"/>
        </w:rPr>
        <w:t xml:space="preserve">Financial price risk management tools such as forwards, futures, and options can support short-term resilience to input and output price fluctuations. However, despite their benefits in offsetting price risk, the adoption among farmers remains low. Since this appears inconsistent with the traditional view of farmers being risk averse in an expected utility framework, we build on recent findings from </w:t>
      </w:r>
      <w:proofErr w:type="spellStart"/>
      <w:r>
        <w:rPr>
          <w:rFonts w:ascii="Arial" w:hAnsi="Arial" w:cs="Arial"/>
          <w:color w:val="000000"/>
          <w:sz w:val="16"/>
          <w:szCs w:val="16"/>
        </w:rPr>
        <w:t>behavioral</w:t>
      </w:r>
      <w:proofErr w:type="spellEnd"/>
      <w:r>
        <w:rPr>
          <w:rFonts w:ascii="Arial" w:hAnsi="Arial" w:cs="Arial"/>
          <w:color w:val="000000"/>
          <w:sz w:val="16"/>
          <w:szCs w:val="16"/>
        </w:rPr>
        <w:t xml:space="preserve"> economic theory and re-design insurance contracts accordingly. More specifically, price risk management decisions appear to correlate with loss aversion and time preferences rather than only risk aversion, which is why we adjust contract payment times and coverage rates. In a simulation exercise we show that under prospect value maximization these adjustments increase attractiveness of price risk management tools for representative European farms. Our findings show entry points for the CAP to incentivize the adoption of such contracts beyond subsidization. Thereby, price risk management tools can become a tool that provides short-term resilience to (fossil-energy) price shocks. Within the overall framework of this session this can build a bridge into a mid-term future in which agriculture uses fossil fuels more efficiently and a long term future in which fossil fuels become obsolete.</w:t>
      </w:r>
    </w:p>
    <w:p w14:paraId="09987CF2" w14:textId="38EB32E4" w:rsidR="003C0C4F" w:rsidRDefault="003C0C4F">
      <w:pPr>
        <w:spacing w:after="160" w:line="259" w:lineRule="auto"/>
        <w:rPr>
          <w:lang w:val="en-GB"/>
        </w:rPr>
      </w:pPr>
      <w:r>
        <w:rPr>
          <w:lang w:val="en-GB"/>
        </w:rPr>
        <w:br w:type="page"/>
      </w:r>
    </w:p>
    <w:p w14:paraId="15EBE460" w14:textId="77777777" w:rsidR="003C0C4F" w:rsidRDefault="003C0C4F" w:rsidP="003C0C4F">
      <w:pPr>
        <w:pStyle w:val="Heading1"/>
        <w:numPr>
          <w:ilvl w:val="0"/>
          <w:numId w:val="0"/>
        </w:numPr>
        <w:ind w:left="432"/>
        <w:rPr>
          <w:lang w:val="en-US"/>
        </w:rPr>
      </w:pPr>
      <w:r>
        <w:rPr>
          <w:lang w:val="en-US"/>
        </w:rPr>
        <w:lastRenderedPageBreak/>
        <w:t xml:space="preserve">Appendix A – Variance of profits </w:t>
      </w:r>
    </w:p>
    <w:p w14:paraId="15A5064D" w14:textId="77777777" w:rsidR="003C0C4F" w:rsidRDefault="003C0C4F" w:rsidP="003C0C4F">
      <w:pPr>
        <w:spacing w:line="360" w:lineRule="auto"/>
        <w:jc w:val="both"/>
        <w:rPr>
          <w:lang w:val="en-GB"/>
        </w:rPr>
      </w:pPr>
      <w:r>
        <w:rPr>
          <w:lang w:val="en-GB"/>
        </w:rPr>
        <w:t>The profit function is:</w:t>
      </w:r>
    </w:p>
    <w:p w14:paraId="76EF8020" w14:textId="77777777" w:rsidR="003C0C4F" w:rsidRPr="00B65EF9" w:rsidRDefault="003C0C4F" w:rsidP="003C0C4F">
      <w:pPr>
        <w:spacing w:line="360" w:lineRule="auto"/>
        <w:jc w:val="both"/>
      </w:pPr>
      <m:oMathPara>
        <m:oMathParaPr>
          <m:jc m:val="center"/>
        </m:oMathParaPr>
        <m:oMath>
          <m:eqArr>
            <m:eqArrPr>
              <m:maxDist m:val="1"/>
              <m:ctrlPr>
                <w:rPr>
                  <w:rFonts w:ascii="Cambria Math" w:hAnsi="Cambria Math" w:cs="Calibr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5D1348C1" w14:textId="77777777" w:rsidR="003C0C4F" w:rsidRPr="00D5293B" w:rsidRDefault="003C0C4F" w:rsidP="003C0C4F">
      <w:pPr>
        <w:spacing w:line="360" w:lineRule="auto"/>
        <w:jc w:val="both"/>
        <w:rPr>
          <w:lang w:val="en-GB"/>
        </w:rPr>
      </w:pPr>
      <w:r w:rsidRPr="00D5293B">
        <w:rPr>
          <w:lang w:val="en-GB"/>
        </w:rPr>
        <w:t>or:</w:t>
      </w:r>
    </w:p>
    <w:p w14:paraId="47DAFB24" w14:textId="77777777" w:rsidR="003C0C4F" w:rsidRDefault="003C0C4F" w:rsidP="003C0C4F">
      <w:pPr>
        <w:spacing w:line="360" w:lineRule="auto"/>
        <w:jc w:val="center"/>
        <w:rPr>
          <w:lang w:val="en-GB"/>
        </w:rPr>
      </w:pPr>
      <m:oMathPara>
        <m:oMath>
          <m:eqArr>
            <m:eqArrPr>
              <m:maxDist m:val="1"/>
              <m:ctrlPr>
                <w:rPr>
                  <w:rFonts w:ascii="Cambria Math" w:hAnsi="Cambria Math"/>
                  <w: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36E1648D" w14:textId="77777777" w:rsidR="003C0C4F" w:rsidRDefault="003C0C4F" w:rsidP="003C0C4F">
      <w:pPr>
        <w:spacing w:line="360" w:lineRule="auto"/>
        <w:jc w:val="both"/>
        <w:rPr>
          <w:lang w:val="en-GB"/>
        </w:rPr>
      </w:pPr>
      <w:r>
        <w:rPr>
          <w:lang w:val="en-GB"/>
        </w:rPr>
        <w:t xml:space="preserve">Defining </w:t>
      </w:r>
      <m:oMath>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E</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E</m:t>
            </m:r>
          </m:e>
          <m:sub>
            <m:r>
              <m:rPr>
                <m:sty m:val="p"/>
              </m:rPr>
              <w:rPr>
                <w:rFonts w:ascii="Cambria Math" w:hAnsi="Cambria Math"/>
                <w:lang w:val="en-GB"/>
              </w:rPr>
              <m:t>Π</m:t>
            </m:r>
          </m:sub>
        </m:sSub>
      </m:oMath>
      <w:r w:rsidRPr="00A6071A">
        <w:rPr>
          <w:lang w:val="en-GB"/>
        </w:rPr>
        <w:t xml:space="preserve">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 V</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V</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V</m:t>
            </m:r>
          </m:e>
          <m:sub>
            <m:r>
              <m:rPr>
                <m:sty m:val="p"/>
              </m:rPr>
              <w:rPr>
                <w:rFonts w:ascii="Cambria Math" w:hAnsi="Cambria Math"/>
                <w:lang w:val="en-GB"/>
              </w:rPr>
              <m:t>Π</m:t>
            </m:r>
          </m:sub>
        </m:sSub>
        <m:r>
          <w:rPr>
            <w:rFonts w:ascii="Cambria Math" w:hAnsi="Cambria Math" w:cs="Calibri"/>
            <w:lang w:val="en-GB"/>
          </w:rPr>
          <m:t>)</m:t>
        </m:r>
      </m:oMath>
      <w:r w:rsidRPr="00EA546E">
        <w:rPr>
          <w:lang w:val="en-GB"/>
        </w:rPr>
        <w:t xml:space="preserve"> </w:t>
      </w:r>
      <w:r>
        <w:rPr>
          <w:lang w:val="en-GB"/>
        </w:rPr>
        <w:t xml:space="preserve">as the expected value (variance) of wheat prices, yield, fertilizer prices and contract payoff. </w:t>
      </w:r>
    </w:p>
    <w:p w14:paraId="7FDB5235" w14:textId="77777777" w:rsidR="003C0C4F" w:rsidRDefault="003C0C4F" w:rsidP="003C0C4F">
      <w:pPr>
        <w:spacing w:line="360" w:lineRule="auto"/>
        <w:jc w:val="both"/>
        <w:rPr>
          <w:lang w:val="en-GB"/>
        </w:rPr>
      </w:pPr>
      <w:r>
        <w:rPr>
          <w:lang w:val="en-GB"/>
        </w:rPr>
        <w:t xml:space="preserve">The variance of profits is derived as: </w:t>
      </w:r>
    </w:p>
    <w:p w14:paraId="1BEDA50E" w14:textId="77777777" w:rsidR="003C0C4F" w:rsidRDefault="003C0C4F" w:rsidP="003C0C4F">
      <w:pPr>
        <w:spacing w:line="360" w:lineRule="auto"/>
        <w:jc w:val="both"/>
        <w:rPr>
          <w:lang w:val="en-GB"/>
        </w:rPr>
      </w:pPr>
      <m:oMathPara>
        <m:oMath>
          <m:r>
            <w:rPr>
              <w:rFonts w:ascii="Cambria Math" w:hAnsi="Cambria Math" w:cs="Calibri"/>
            </w:rPr>
            <m:t>Var(π)</m:t>
          </m:r>
          <m:r>
            <w:rPr>
              <w:rFonts w:ascii="Cambria Math" w:hAnsi="Cambria Math" w:cs="Calibri"/>
              <w:lang w:val="en-GB"/>
            </w:rPr>
            <m:t>=Var{(</m:t>
          </m:r>
          <m:r>
            <w:rPr>
              <w:rFonts w:ascii="Cambria Math" w:hAnsi="Cambria Math" w:cs="Calibri"/>
            </w:rPr>
            <m:t>py)</m:t>
          </m:r>
          <m:r>
            <w:rPr>
              <w:rFonts w:ascii="Cambria Math" w:hAnsi="Cambria Math" w:cs="Calibri"/>
              <w:lang w:val="en-GB"/>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oMath>
      </m:oMathPara>
    </w:p>
    <w:p w14:paraId="06E1CFD9"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-2NCov</m:t>
          </m:r>
          <m:d>
            <m:dPr>
              <m:ctrlPr>
                <w:rPr>
                  <w:rFonts w:ascii="Cambria Math" w:hAnsi="Cambria Math"/>
                  <w:i/>
                </w:rPr>
              </m:ctrlPr>
            </m:dPr>
            <m:e>
              <m:r>
                <w:rPr>
                  <w:rFonts w:ascii="Cambria Math" w:hAnsi="Cambria Math" w:cs="Calibri"/>
                </w:rPr>
                <m:t>py,</m:t>
              </m:r>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1FEF6F6E" w14:textId="77777777" w:rsidR="003C0C4F" w:rsidRDefault="003C0C4F" w:rsidP="003C0C4F">
      <w:pPr>
        <w:spacing w:line="360" w:lineRule="auto"/>
        <w:jc w:val="both"/>
        <w:rPr>
          <w:lang w:val="en-GB"/>
        </w:rPr>
      </w:pPr>
      <w:r>
        <w:rPr>
          <w:lang w:val="en-GB"/>
        </w:rPr>
        <w:t>i</w:t>
      </w:r>
      <w:r w:rsidRPr="00D66A75">
        <w:rPr>
          <w:lang w:val="en-GB"/>
        </w:rPr>
        <w:t>f</w:t>
      </w:r>
      <w:r>
        <w:rPr>
          <w:lang w:val="en-GB"/>
        </w:rPr>
        <w:t xml:space="preserve"> </w:t>
      </w:r>
      <m:oMath>
        <m:r>
          <w:rPr>
            <w:rFonts w:ascii="Cambria Math" w:hAnsi="Cambria Math"/>
            <w:lang w:val="en-GB"/>
          </w:rPr>
          <m:t>py</m:t>
        </m:r>
      </m:oMath>
      <w:r w:rsidRPr="00D66A75">
        <w:rPr>
          <w:lang w:val="en-GB"/>
        </w:rPr>
        <w:t xml:space="preserve"> and </w:t>
      </w:r>
      <m:oMath>
        <m:r>
          <w:rPr>
            <w:rFonts w:ascii="Cambria Math" w:hAnsi="Cambria Math"/>
            <w:lang w:val="en-GB"/>
          </w:rPr>
          <m:t>s-</m:t>
        </m:r>
        <m:r>
          <m:rPr>
            <m:sty m:val="p"/>
          </m:rPr>
          <w:rPr>
            <w:rFonts w:ascii="Cambria Math" w:hAnsi="Cambria Math"/>
          </w:rPr>
          <m:t>Π</m:t>
        </m:r>
      </m:oMath>
      <w:r>
        <w:rPr>
          <w:lang w:val="en-GB"/>
        </w:rPr>
        <w:t xml:space="preserve"> are independent, then </w:t>
      </w:r>
      <m:oMath>
        <m:r>
          <w:rPr>
            <w:rFonts w:ascii="Cambria Math" w:hAnsi="Cambria Math"/>
          </w:rPr>
          <m:t>Cov</m:t>
        </m:r>
        <m:d>
          <m:dPr>
            <m:ctrlPr>
              <w:rPr>
                <w:rFonts w:ascii="Cambria Math" w:hAnsi="Cambria Math"/>
                <w:i/>
              </w:rPr>
            </m:ctrlPr>
          </m:dPr>
          <m:e>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lang w:val="en-GB"/>
              </w:rPr>
              <m:t>-</m:t>
            </m:r>
            <m:r>
              <m:rPr>
                <m:sty m:val="p"/>
              </m:rPr>
              <w:rPr>
                <w:rFonts w:ascii="Cambria Math" w:hAnsi="Cambria Math"/>
              </w:rPr>
              <m:t>Π</m:t>
            </m:r>
            <m:ctrlPr>
              <w:rPr>
                <w:rFonts w:ascii="Cambria Math" w:hAnsi="Cambria Math"/>
              </w:rPr>
            </m:ctrlPr>
          </m:e>
        </m:d>
        <m:r>
          <w:rPr>
            <w:rFonts w:ascii="Cambria Math" w:hAnsi="Cambria Math"/>
            <w:lang w:val="en-GB"/>
          </w:rPr>
          <m:t>=0</m:t>
        </m:r>
      </m:oMath>
      <w:r>
        <w:rPr>
          <w:lang w:val="en-GB"/>
        </w:rPr>
        <w:t>. Hence:</w:t>
      </w:r>
    </w:p>
    <w:p w14:paraId="3F92A042"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771AE0E2" w14:textId="77777777" w:rsidR="003C0C4F" w:rsidRPr="00D66A75" w:rsidRDefault="003C0C4F" w:rsidP="003C0C4F">
      <w:pPr>
        <w:spacing w:line="360" w:lineRule="auto"/>
        <w:jc w:val="both"/>
      </w:pPr>
      <w:proofErr w:type="spellStart"/>
      <w:r>
        <w:t>further</w:t>
      </w:r>
      <w:proofErr w:type="spellEnd"/>
    </w:p>
    <w:p w14:paraId="5D32474B" w14:textId="77777777" w:rsidR="003C0C4F" w:rsidRPr="00D66A75"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=Var</m:t>
          </m:r>
          <m:d>
            <m:dPr>
              <m:ctrlPr>
                <w:rPr>
                  <w:rFonts w:ascii="Cambria Math" w:hAnsi="Cambria Math"/>
                  <w:i/>
                </w:rPr>
              </m:ctrlPr>
            </m:dPr>
            <m:e>
              <m:r>
                <w:rPr>
                  <w:rFonts w:ascii="Cambria Math" w:hAnsi="Cambria Math"/>
                </w:rPr>
                <m:t>s</m:t>
              </m:r>
            </m:e>
          </m:d>
          <m:r>
            <w:rPr>
              <w:rFonts w:ascii="Cambria Math" w:hAnsi="Cambria Math"/>
            </w:rPr>
            <m:t>+Var</m:t>
          </m:r>
          <m:d>
            <m:dPr>
              <m:ctrlPr>
                <w:rPr>
                  <w:rFonts w:ascii="Cambria Math" w:hAnsi="Cambria Math"/>
                  <w:i/>
                </w:rPr>
              </m:ctrlPr>
            </m:dPr>
            <m:e>
              <m:r>
                <m:rPr>
                  <m:sty m:val="p"/>
                </m:rPr>
                <w:rPr>
                  <w:rFonts w:ascii="Cambria Math" w:hAnsi="Cambria Math"/>
                </w:rPr>
                <m:t>Π</m:t>
              </m:r>
            </m:e>
          </m:d>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6CE5F890" w14:textId="77777777" w:rsidR="003C0C4F" w:rsidRDefault="003C0C4F" w:rsidP="003C0C4F">
      <w:pPr>
        <w:spacing w:line="360" w:lineRule="auto"/>
        <w:jc w:val="both"/>
        <w:rPr>
          <w:lang w:val="en-GB"/>
        </w:rPr>
      </w:pPr>
      <w:r>
        <w:rPr>
          <w:lang w:val="en-GB"/>
        </w:rPr>
        <w:t>and</w:t>
      </w:r>
    </w:p>
    <w:p w14:paraId="4D7D90DE" w14:textId="77777777" w:rsidR="003C0C4F" w:rsidRPr="0059198F" w:rsidRDefault="003C0C4F" w:rsidP="003C0C4F">
      <w:pPr>
        <w:spacing w:line="360" w:lineRule="auto"/>
        <w:jc w:val="both"/>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=E</m:t>
          </m:r>
          <m:d>
            <m:dPr>
              <m:begChr m:val="["/>
              <m:endChr m:val="]"/>
              <m:ctrlPr>
                <w:rPr>
                  <w:rFonts w:ascii="Cambria Math" w:hAnsi="Cambria Math" w:cs="Calibri"/>
                  <w:i/>
                </w:rPr>
              </m:ctrlPr>
            </m:dPr>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py</m:t>
                      </m:r>
                    </m:e>
                  </m:d>
                </m:e>
                <m:sup>
                  <m:r>
                    <w:rPr>
                      <w:rFonts w:ascii="Cambria Math" w:hAnsi="Cambria Math" w:cs="Calibri"/>
                    </w:rPr>
                    <m:t>2</m:t>
                  </m:r>
                </m:sup>
              </m:sSup>
            </m:e>
          </m:d>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e>
              </m:d>
            </m:e>
            <m:sup>
              <m:r>
                <w:rPr>
                  <w:rFonts w:ascii="Cambria Math" w:hAnsi="Cambria Math" w:cs="Calibri"/>
                </w:rPr>
                <m:t>2</m:t>
              </m:r>
            </m:sup>
          </m:sSup>
        </m:oMath>
      </m:oMathPara>
    </w:p>
    <w:p w14:paraId="652B657E" w14:textId="77777777" w:rsidR="003C0C4F" w:rsidRDefault="003C0C4F" w:rsidP="003C0C4F">
      <w:pPr>
        <w:spacing w:line="360" w:lineRule="auto"/>
        <w:jc w:val="both"/>
        <w:rPr>
          <w:lang w:val="en-GB"/>
        </w:rPr>
      </w:pPr>
      <w:proofErr w:type="spellStart"/>
      <w:r>
        <w:t>with</w:t>
      </w:r>
      <w:proofErr w:type="spellEnd"/>
      <w:r>
        <w:t xml:space="preserve"> </w:t>
      </w:r>
    </w:p>
    <w:p w14:paraId="4CE1929A" w14:textId="77777777" w:rsidR="003C0C4F" w:rsidRPr="0059198F" w:rsidRDefault="003C0C4F" w:rsidP="003C0C4F">
      <w:pPr>
        <w:spacing w:line="360" w:lineRule="auto"/>
        <w:jc w:val="both"/>
      </w:pPr>
      <m:oMathPara>
        <m:oMath>
          <m:r>
            <w:rPr>
              <w:rFonts w:ascii="Cambria Math" w:hAnsi="Cambria Math" w:cs="Calibri"/>
            </w:rPr>
            <m:t>E</m:t>
          </m:r>
          <m:d>
            <m:dPr>
              <m:ctrlPr>
                <w:rPr>
                  <w:rFonts w:ascii="Cambria Math" w:hAnsi="Cambria Math" w:cs="Calibri"/>
                  <w:i/>
                </w:rPr>
              </m:ctrlPr>
            </m:dPr>
            <m:e>
              <m:r>
                <w:rPr>
                  <w:rFonts w:ascii="Cambria Math" w:hAnsi="Cambria Math" w:cs="Calibri"/>
                </w:rPr>
                <m:t>py</m:t>
              </m:r>
            </m:e>
          </m:d>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rPr>
            <m:t>+Cov</m:t>
          </m:r>
          <m:d>
            <m:dPr>
              <m:ctrlPr>
                <w:rPr>
                  <w:rFonts w:ascii="Cambria Math" w:hAnsi="Cambria Math" w:cs="Calibri"/>
                  <w:i/>
                </w:rPr>
              </m:ctrlPr>
            </m:dPr>
            <m:e>
              <m:r>
                <w:rPr>
                  <w:rFonts w:ascii="Cambria Math" w:hAnsi="Cambria Math" w:cs="Calibri"/>
                </w:rPr>
                <m:t>p,y</m:t>
              </m:r>
            </m:e>
          </m:d>
        </m:oMath>
      </m:oMathPara>
    </w:p>
    <w:p w14:paraId="04C1F325" w14:textId="77777777" w:rsidR="003C0C4F" w:rsidRPr="0059198F"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=Var</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py</m:t>
                      </m:r>
                    </m:e>
                  </m:d>
                </m:e>
              </m:d>
            </m:e>
            <m:sup>
              <m:r>
                <w:rPr>
                  <w:rFonts w:ascii="Cambria Math" w:hAnsi="Cambria Math"/>
                  <w:lang w:val="en-GB"/>
                </w:rPr>
                <m:t>2</m:t>
              </m:r>
            </m:sup>
          </m:sSup>
        </m:oMath>
      </m:oMathPara>
    </w:p>
    <w:p w14:paraId="1F9973B6" w14:textId="77777777" w:rsidR="003C0C4F" w:rsidRDefault="003C0C4F" w:rsidP="003C0C4F">
      <w:pPr>
        <w:spacing w:line="360" w:lineRule="auto"/>
        <w:jc w:val="both"/>
        <w:rPr>
          <w:lang w:val="en-GB"/>
        </w:rPr>
      </w:pPr>
      <w:r>
        <w:rPr>
          <w:lang w:val="en-GB"/>
        </w:rPr>
        <w:t>Assuming joint normality</w:t>
      </w:r>
    </w:p>
    <w:p w14:paraId="5CF8D978" w14:textId="77777777" w:rsidR="003C0C4F" w:rsidRPr="00B65EF9"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+2Cov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+4E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oMath>
      </m:oMathPara>
    </w:p>
    <w:p w14:paraId="51BBADF4" w14:textId="77777777" w:rsidR="003C0C4F" w:rsidRDefault="003C0C4F" w:rsidP="003C0C4F">
      <w:pPr>
        <w:spacing w:line="360" w:lineRule="auto"/>
        <w:jc w:val="both"/>
        <w:rPr>
          <w:lang w:val="en-GB"/>
        </w:rPr>
      </w:pPr>
      <w:r>
        <w:rPr>
          <w:lang w:val="en-GB"/>
        </w:rPr>
        <w:t xml:space="preserve">Subtracting </w:t>
      </w:r>
      <m:oMath>
        <m:sSup>
          <m:sSupPr>
            <m:ctrlPr>
              <w:rPr>
                <w:rFonts w:ascii="Cambria Math" w:hAnsi="Cambria Math" w:cs="Calibri"/>
                <w:i/>
                <w:lang w:val="en-GB"/>
              </w:rPr>
            </m:ctrlPr>
          </m:sSupPr>
          <m:e>
            <m:d>
              <m:dPr>
                <m:begChr m:val="["/>
                <m:endChr m:val="]"/>
                <m:ctrlPr>
                  <w:rPr>
                    <w:rFonts w:ascii="Cambria Math" w:hAnsi="Cambria Math"/>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ctrlPr>
                  <w:rPr>
                    <w:rFonts w:ascii="Cambria Math" w:hAnsi="Cambria Math" w:cs="Calibri"/>
                    <w:i/>
                    <w:lang w:val="en-GB"/>
                  </w:rPr>
                </m:ctrlPr>
              </m:e>
            </m:d>
          </m:e>
          <m:sup>
            <m:r>
              <w:rPr>
                <w:rFonts w:ascii="Cambria Math" w:hAnsi="Cambria Math" w:cs="Calibri"/>
                <w:lang w:val="en-GB"/>
              </w:rPr>
              <m:t>2</m:t>
            </m:r>
          </m:sup>
        </m:sSup>
        <m:r>
          <w:rPr>
            <w:rFonts w:ascii="Cambria Math" w:hAnsi="Cambria Math" w:cs="Calibri"/>
            <w:lang w:val="en-GB"/>
          </w:rPr>
          <m:t>=</m:t>
        </m:r>
        <m:sSup>
          <m:sSupPr>
            <m:ctrlPr>
              <w:rPr>
                <w:rFonts w:ascii="Cambria Math" w:hAnsi="Cambria Math" w:cs="Calibri"/>
                <w:i/>
                <w:lang w:val="en-GB"/>
              </w:rPr>
            </m:ctrlPr>
          </m:sSupPr>
          <m:e>
            <m:d>
              <m:dPr>
                <m:begChr m:val="["/>
                <m:endChr m:val="]"/>
                <m:ctrlPr>
                  <w:rPr>
                    <w:rFonts w:ascii="Cambria Math" w:hAnsi="Cambria Math" w:cs="Calibri"/>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lang w:val="en-GB"/>
                  </w:rPr>
                  <m:t>+</m:t>
                </m:r>
                <m:r>
                  <w:rPr>
                    <w:rFonts w:ascii="Cambria Math" w:hAnsi="Cambria Math" w:cs="Calibri"/>
                  </w:rPr>
                  <m:t>Cov</m:t>
                </m:r>
                <m:d>
                  <m:dPr>
                    <m:ctrlPr>
                      <w:rPr>
                        <w:rFonts w:ascii="Cambria Math" w:hAnsi="Cambria Math" w:cs="Calibri"/>
                        <w:i/>
                      </w:rPr>
                    </m:ctrlPr>
                  </m:dPr>
                  <m:e>
                    <m:r>
                      <w:rPr>
                        <w:rFonts w:ascii="Cambria Math" w:hAnsi="Cambria Math" w:cs="Calibri"/>
                      </w:rPr>
                      <m:t>p</m:t>
                    </m:r>
                    <m:r>
                      <w:rPr>
                        <w:rFonts w:ascii="Cambria Math" w:hAnsi="Cambria Math" w:cs="Calibri"/>
                        <w:lang w:val="en-GB"/>
                      </w:rPr>
                      <m:t>,</m:t>
                    </m:r>
                    <m:r>
                      <w:rPr>
                        <w:rFonts w:ascii="Cambria Math" w:hAnsi="Cambria Math" w:cs="Calibri"/>
                      </w:rPr>
                      <m:t>y</m:t>
                    </m:r>
                  </m:e>
                </m:d>
              </m:e>
            </m:d>
          </m:e>
          <m:sup>
            <m:r>
              <w:rPr>
                <w:rFonts w:ascii="Cambria Math" w:hAnsi="Cambria Math" w:cs="Calibri"/>
                <w:lang w:val="en-GB"/>
              </w:rPr>
              <m:t>2</m:t>
            </m:r>
          </m:sup>
        </m:sSup>
      </m:oMath>
      <w:r w:rsidRPr="00B65EF9">
        <w:rPr>
          <w:lang w:val="en-GB"/>
        </w:rPr>
        <w:t xml:space="preserve">, </w:t>
      </w:r>
      <w:r>
        <w:rPr>
          <w:lang w:val="en-GB"/>
        </w:rPr>
        <w:t>we get</w:t>
      </w:r>
    </w:p>
    <w:p w14:paraId="280D4FEB" w14:textId="77777777" w:rsidR="003C0C4F" w:rsidRPr="00B65EF9"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oMath>
      </m:oMathPara>
    </w:p>
    <w:p w14:paraId="21BFC1E4" w14:textId="77777777" w:rsidR="003C0C4F" w:rsidRDefault="003C0C4F" w:rsidP="003C0C4F">
      <w:pPr>
        <w:spacing w:line="360" w:lineRule="auto"/>
        <w:jc w:val="both"/>
        <w:rPr>
          <w:lang w:val="en-GB"/>
        </w:rPr>
      </w:pPr>
      <w:r>
        <w:rPr>
          <w:lang w:val="en-GB"/>
        </w:rPr>
        <w:t xml:space="preserve">The final profit variance will then be: </w:t>
      </w:r>
    </w:p>
    <w:p w14:paraId="547E014C" w14:textId="77777777" w:rsidR="003C0C4F" w:rsidRDefault="003C0C4F" w:rsidP="003C0C4F">
      <w:pPr>
        <w:spacing w:line="360" w:lineRule="auto"/>
        <w:jc w:val="both"/>
        <w:rPr>
          <w:lang w:val="en-GB"/>
        </w:rPr>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b>
            <m:sSubPr>
              <m:ctrlPr>
                <w:rPr>
                  <w:rFonts w:ascii="Cambria Math" w:hAnsi="Cambria Math"/>
                  <w:i/>
                </w:rPr>
              </m:ctrlPr>
            </m:sSubPr>
            <m:e>
              <m:r>
                <w:rPr>
                  <w:rFonts w:ascii="Cambria Math" w:hAnsi="Cambria Math"/>
                </w:rPr>
                <m:t>V</m:t>
              </m:r>
              <m:ctrlPr>
                <w:rPr>
                  <w:rFonts w:ascii="Cambria Math" w:hAnsi="Cambria Math"/>
                  <w:i/>
                  <w:lang w:val="en-GB"/>
                </w:rPr>
              </m:ctrlP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Π</m:t>
              </m:r>
            </m:sub>
          </m:sSub>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320C1E1C" w14:textId="77777777" w:rsidR="009114C8" w:rsidRPr="009114C8" w:rsidRDefault="009114C8" w:rsidP="005B1A69">
      <w:pPr>
        <w:rPr>
          <w:lang w:val="en-GB"/>
        </w:rPr>
      </w:pPr>
    </w:p>
    <w:sectPr w:rsidR="009114C8" w:rsidRPr="009114C8" w:rsidSect="008757BE">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09:07:00Z" w:initials="TD">
    <w:p w14:paraId="20840CD8" w14:textId="77777777" w:rsidR="003B50D0" w:rsidRPr="006C34FC" w:rsidRDefault="003B50D0" w:rsidP="003B50D0">
      <w:pPr>
        <w:pStyle w:val="CommentText"/>
        <w:rPr>
          <w:lang w:val="en-GB"/>
        </w:rPr>
      </w:pPr>
      <w:r>
        <w:rPr>
          <w:rStyle w:val="CommentReference"/>
        </w:rPr>
        <w:annotationRef/>
      </w:r>
      <w:r>
        <w:t>Sentence not clear to me</w:t>
      </w:r>
    </w:p>
  </w:comment>
  <w:comment w:id="1" w:author="Tobias Dalhaus" w:date="2025-06-18T09:10:00Z" w:initials="TD">
    <w:p w14:paraId="04ED701F" w14:textId="77777777" w:rsidR="003B50D0" w:rsidRPr="006C34FC" w:rsidRDefault="003B50D0" w:rsidP="003B50D0">
      <w:pPr>
        <w:pStyle w:val="CommentText"/>
        <w:rPr>
          <w:lang w:val="en-GB"/>
        </w:rPr>
      </w:pPr>
      <w:r>
        <w:rPr>
          <w:rStyle w:val="CommentReference"/>
        </w:rPr>
        <w:annotationRef/>
      </w:r>
      <w:r>
        <w:t>Not sure we need these two sentences</w:t>
      </w:r>
    </w:p>
  </w:comment>
  <w:comment w:id="3" w:author="Meuwissen, Miranda" w:date="2024-07-18T09:48:00Z" w:initials="MM">
    <w:p w14:paraId="2AEF3517" w14:textId="77777777" w:rsidR="008844A8" w:rsidRDefault="008844A8" w:rsidP="008844A8">
      <w:pPr>
        <w:pStyle w:val="CommentText"/>
      </w:pPr>
      <w:r>
        <w:rPr>
          <w:rStyle w:val="CommentReference"/>
        </w:rPr>
        <w:annotationRef/>
      </w:r>
      <w:r>
        <w:rPr>
          <w:lang w:val="en-GB"/>
        </w:rPr>
        <w:t xml:space="preserve">The tools might also be relevant for livestock and greenhouse farmers. Can we make the illustration more generic? </w:t>
      </w:r>
    </w:p>
  </w:comment>
  <w:comment w:id="4" w:author="Spada, Riccardo" w:date="2025-09-04T16:12:00Z" w:initials="SR">
    <w:p w14:paraId="4BA66855" w14:textId="77777777" w:rsidR="006379AA" w:rsidRPr="000C1315" w:rsidRDefault="006379AA" w:rsidP="006379AA">
      <w:pPr>
        <w:pStyle w:val="CommentText"/>
        <w:rPr>
          <w:lang w:val="en-GB"/>
        </w:rPr>
      </w:pPr>
      <w:r>
        <w:rPr>
          <w:rStyle w:val="CommentReference"/>
        </w:rPr>
        <w:annotationRef/>
      </w:r>
      <w:r>
        <w:rPr>
          <w:lang w:val="en-GB"/>
        </w:rPr>
        <w:t xml:space="preserve">Might need </w:t>
      </w:r>
      <w:r w:rsidRPr="000C1315">
        <w:rPr>
          <w:lang w:val="en-GB"/>
        </w:rPr>
        <w:t xml:space="preserve">to </w:t>
      </w:r>
      <w:r>
        <w:rPr>
          <w:lang w:val="en-GB"/>
        </w:rPr>
        <w:t xml:space="preserve">use a stochastic volatility </w:t>
      </w:r>
      <w:r w:rsidRPr="006157D3">
        <w:rPr>
          <w:lang w:val="en-GB"/>
        </w:rPr>
        <w:t>with jumps</w:t>
      </w:r>
      <w:r>
        <w:rPr>
          <w:lang w:val="en-GB"/>
        </w:rPr>
        <w:t xml:space="preserve"> model </w:t>
      </w:r>
      <w:r w:rsidRPr="000C1315">
        <w:rPr>
          <w:lang w:val="en-GB"/>
        </w:rPr>
        <w:t xml:space="preserve">to reflect shocks during crisis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840CD8" w15:done="0"/>
  <w15:commentEx w15:paraId="04ED701F" w15:done="0"/>
  <w15:commentEx w15:paraId="2AEF3517" w15:done="0"/>
  <w15:commentEx w15:paraId="4BA668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554F0F3" w16cex:dateUtc="2025-06-18T07:07:00Z"/>
  <w16cex:commentExtensible w16cex:durableId="7FA14C56" w16cex:dateUtc="2025-06-18T07:10:00Z"/>
  <w16cex:commentExtensible w16cex:durableId="2A436379" w16cex:dateUtc="2024-07-18T07:48:00Z"/>
  <w16cex:commentExtensible w16cex:durableId="2C643906" w16cex:dateUtc="2025-09-0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840CD8" w16cid:durableId="3554F0F3"/>
  <w16cid:commentId w16cid:paraId="04ED701F" w16cid:durableId="7FA14C56"/>
  <w16cid:commentId w16cid:paraId="2AEF3517" w16cid:durableId="2A436379"/>
  <w16cid:commentId w16cid:paraId="4BA66855" w16cid:durableId="2C6439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AB6AB" w14:textId="77777777" w:rsidR="003B761A" w:rsidRDefault="003B761A" w:rsidP="00DC2D06">
      <w:r>
        <w:separator/>
      </w:r>
    </w:p>
  </w:endnote>
  <w:endnote w:type="continuationSeparator" w:id="0">
    <w:p w14:paraId="360CE973" w14:textId="77777777" w:rsidR="003B761A" w:rsidRDefault="003B761A" w:rsidP="00DC2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ews Gothic">
    <w:altName w:val="Calibri"/>
    <w:charset w:val="00"/>
    <w:family w:val="swiss"/>
    <w:pitch w:val="variable"/>
    <w:sig w:usb0="00000083" w:usb1="00000000" w:usb2="00000000" w:usb3="00000000" w:csb0="00000009"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4B345" w14:textId="77777777" w:rsidR="003B761A" w:rsidRDefault="003B761A" w:rsidP="00DC2D06">
      <w:r>
        <w:separator/>
      </w:r>
    </w:p>
  </w:footnote>
  <w:footnote w:type="continuationSeparator" w:id="0">
    <w:p w14:paraId="3D54CBED" w14:textId="77777777" w:rsidR="003B761A" w:rsidRDefault="003B761A" w:rsidP="00DC2D06">
      <w:r>
        <w:continuationSeparator/>
      </w:r>
    </w:p>
  </w:footnote>
  <w:footnote w:id="1">
    <w:p w14:paraId="6A0D9494" w14:textId="77777777" w:rsidR="00306FF7" w:rsidRPr="00957313" w:rsidRDefault="00306FF7" w:rsidP="00306FF7">
      <w:pPr>
        <w:pStyle w:val="FootnoteText"/>
        <w:rPr>
          <w:lang w:val="en-US"/>
        </w:rPr>
      </w:pPr>
      <w:r w:rsidRPr="00327C48">
        <w:rPr>
          <w:rStyle w:val="FootnoteReference"/>
          <w:rFonts w:eastAsiaTheme="majorEastAsia"/>
        </w:rPr>
        <w:footnoteRef/>
      </w:r>
      <w:r w:rsidRPr="00226F25">
        <w:rPr>
          <w:lang w:val="en-US"/>
        </w:rPr>
        <w:t xml:space="preserve"> </w:t>
      </w:r>
      <w:r w:rsidRPr="003B768B">
        <w:rPr>
          <w:sz w:val="18"/>
          <w:szCs w:val="18"/>
          <w:lang w:val="en-US"/>
        </w:rPr>
        <w:t>i.e.</w:t>
      </w:r>
      <w:r>
        <w:rPr>
          <w:sz w:val="18"/>
          <w:szCs w:val="18"/>
          <w:lang w:val="en-US"/>
        </w:rPr>
        <w:t>,</w:t>
      </w:r>
      <w:r w:rsidRPr="003B768B">
        <w:rPr>
          <w:sz w:val="18"/>
          <w:szCs w:val="18"/>
          <w:lang w:val="en-US"/>
        </w:rPr>
        <w:t xml:space="preserve"> either an insurance layer (a specific range of losses that an insurance policy is designed to cover) or a stop-loss insurance protect</w:t>
      </w:r>
      <w:r>
        <w:rPr>
          <w:sz w:val="18"/>
          <w:szCs w:val="18"/>
          <w:lang w:val="en-US"/>
        </w:rPr>
        <w:t>s</w:t>
      </w:r>
      <w:r w:rsidRPr="003B768B">
        <w:rPr>
          <w:sz w:val="18"/>
          <w:szCs w:val="18"/>
          <w:lang w:val="en-US"/>
        </w:rPr>
        <w:t xml:space="preserve"> against excessive losses by limiting the total amount the policyholder must pay out. </w:t>
      </w:r>
    </w:p>
  </w:footnote>
  <w:footnote w:id="2">
    <w:p w14:paraId="54551252" w14:textId="77777777" w:rsidR="009347AD" w:rsidRPr="00783021" w:rsidRDefault="009347AD" w:rsidP="009347AD">
      <w:pPr>
        <w:pStyle w:val="FootnoteText"/>
        <w:rPr>
          <w:sz w:val="18"/>
          <w:szCs w:val="18"/>
          <w:lang w:val="en-GB"/>
        </w:rPr>
      </w:pPr>
      <w:r w:rsidRPr="00327C48">
        <w:rPr>
          <w:rStyle w:val="FootnoteReference"/>
        </w:rPr>
        <w:footnoteRef/>
      </w:r>
      <w:r w:rsidRPr="00306FF7">
        <w:rPr>
          <w:sz w:val="18"/>
          <w:szCs w:val="18"/>
          <w:lang w:val="en-GB"/>
        </w:rPr>
        <w:t xml:space="preserve"> We do not specify other contract parameters like quantity, delivery, and settlement date, as they can be flexibly arranged for both spot and forward purchases. </w:t>
      </w:r>
    </w:p>
  </w:footnote>
  <w:footnote w:id="3">
    <w:p w14:paraId="45CF7541" w14:textId="77777777" w:rsidR="00DC7523" w:rsidRPr="00072D32" w:rsidRDefault="00DC7523" w:rsidP="00DC7523">
      <w:pPr>
        <w:pStyle w:val="FootnoteText"/>
        <w:jc w:val="both"/>
        <w:rPr>
          <w:lang w:val="en-GB"/>
        </w:rPr>
      </w:pPr>
      <w:r w:rsidRPr="00327C48">
        <w:rPr>
          <w:rStyle w:val="FootnoteReference"/>
        </w:rPr>
        <w:footnoteRef/>
      </w:r>
      <w:r w:rsidRPr="00072D32">
        <w:rPr>
          <w:lang w:val="en-GB"/>
        </w:rPr>
        <w:t xml:space="preserve"> </w:t>
      </w:r>
      <w:r>
        <w:rPr>
          <w:lang w:val="en-GB"/>
        </w:rPr>
        <w:t xml:space="preserve">The second-order models assessed in </w:t>
      </w:r>
      <w:r w:rsidRPr="00EF5173">
        <w:rPr>
          <w:sz w:val="18"/>
          <w:szCs w:val="18"/>
          <w:lang w:val="en-GB"/>
        </w:rPr>
        <w:fldChar w:fldCharType="begin"/>
      </w:r>
      <w:r>
        <w:rPr>
          <w:sz w:val="18"/>
          <w:szCs w:val="18"/>
          <w:lang w:val="en-GB"/>
        </w:rPr>
        <w:instrText xml:space="preserve"> ADDIN ZOTERO_ITEM CSL_CITATION {"citationID":"nA9QPprR","properties":{"formattedCitation":"(Conte &amp; Hey, 2013)","plainCitation":"(Conte &amp; Hey, 2013)","dontUpdate":true,"noteIndex":1},"citationItems":[{"id":127007,"uris":["http://zotero.org/users/14812719/items/BJZ2ZZFW"],"itemData":{"id":127007,"type":"article-journal","abstract":"The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sidRPr="00EF5173">
        <w:rPr>
          <w:sz w:val="18"/>
          <w:szCs w:val="18"/>
          <w:lang w:val="en-GB"/>
        </w:rPr>
        <w:fldChar w:fldCharType="separate"/>
      </w:r>
      <w:r w:rsidRPr="00EF5173">
        <w:rPr>
          <w:sz w:val="18"/>
          <w:szCs w:val="18"/>
          <w:lang w:val="en-GB"/>
        </w:rPr>
        <w:t>Conte &amp; Hey (2013)</w:t>
      </w:r>
      <w:r w:rsidRPr="00EF5173">
        <w:rPr>
          <w:sz w:val="18"/>
          <w:szCs w:val="18"/>
          <w:lang w:val="en-GB"/>
        </w:rPr>
        <w:fldChar w:fldCharType="end"/>
      </w:r>
      <w:r>
        <w:rPr>
          <w:sz w:val="18"/>
          <w:szCs w:val="18"/>
          <w:lang w:val="en-GB"/>
        </w:rPr>
        <w:t xml:space="preserve"> include</w:t>
      </w:r>
      <w:r w:rsidRPr="00EF5173">
        <w:rPr>
          <w:sz w:val="18"/>
          <w:szCs w:val="18"/>
          <w:lang w:val="en-GB"/>
        </w:rPr>
        <w:t xml:space="preserve">: EUT with compounded probabilities; the Smooth Ambiguity Model of </w:t>
      </w:r>
      <w:r>
        <w:rPr>
          <w:sz w:val="18"/>
          <w:szCs w:val="18"/>
          <w:lang w:val="en-GB"/>
        </w:rPr>
        <w:fldChar w:fldCharType="begin"/>
      </w:r>
      <w:r>
        <w:rPr>
          <w:sz w:val="18"/>
          <w:szCs w:val="18"/>
          <w:lang w:val="en-GB"/>
        </w:rPr>
        <w:instrText xml:space="preserve"> ADDIN ZOTERO_ITEM CSL_CITATION {"citationID":"7GfjQb43","properties":{"formattedCitation":"(Klibanoff et al., 2005)","plainCitation":"(Klibanoff et al., 2005)","dontUpdate":true,"noteIndex":1},"citationItems":[{"id":126994,"uris":["http://zotero.org/users/14812719/items/R6ZKHIJI"],"itemData":{"id":126994,"type":"article-journal","abstract":"We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u○g), where </w:instrText>
      </w:r>
      <w:r>
        <w:rPr>
          <w:rFonts w:ascii="Cambria Math" w:hAnsi="Cambria Math" w:cs="Cambria Math"/>
          <w:sz w:val="18"/>
          <w:szCs w:val="18"/>
          <w:lang w:val="en-GB"/>
        </w:rPr>
        <w:instrText>𝔼</w:instrText>
      </w:r>
      <w:r>
        <w:rPr>
          <w:sz w:val="18"/>
          <w:szCs w:val="18"/>
          <w:lang w:val="en-GB"/>
        </w:rPr>
        <w:instrText xml:space="preserve"> is the expectation operator, u is a von Neumann–Morgenstern utility function, </w:instrText>
      </w:r>
      <w:r>
        <w:rPr>
          <w:rFonts w:hint="eastAsia"/>
          <w:sz w:val="18"/>
          <w:szCs w:val="18"/>
          <w:lang w:val="en-GB"/>
        </w:rPr>
        <w:instrText>φ</w:instrText>
      </w:r>
      <w:r>
        <w:rPr>
          <w:sz w:val="18"/>
          <w:szCs w:val="18"/>
          <w:lang w:val="en-GB"/>
        </w:rPr>
        <w:instrText xml:space="preserve">is an increasing transformation, and </w:instrText>
      </w:r>
      <w:r>
        <w:rPr>
          <w:rFonts w:hint="eastAsia"/>
          <w:sz w:val="18"/>
          <w:szCs w:val="18"/>
          <w:lang w:val="en-GB"/>
        </w:rPr>
        <w:instrText>μ</w:instrText>
      </w:r>
      <w:r>
        <w:rPr>
          <w:sz w:val="18"/>
          <w:szCs w:val="18"/>
          <w:lang w:val="en-GB"/>
        </w:rPr>
        <w:instrText xml:space="preserve">is a subjective probability over the set </w:instrText>
      </w:r>
      <w:r>
        <w:rPr>
          <w:rFonts w:hint="eastAsia"/>
          <w:sz w:val="18"/>
          <w:szCs w:val="18"/>
          <w:lang w:val="en-GB"/>
        </w:rPr>
        <w:instrText>Π</w:instrText>
      </w:r>
      <w:r>
        <w:rPr>
          <w:sz w:val="18"/>
          <w:szCs w:val="18"/>
          <w:lang w:val="en-GB"/>
        </w:rPr>
        <w:instrText xml:space="preserve">of probability measures </w:instrText>
      </w:r>
      <w:r>
        <w:rPr>
          <w:rFonts w:hint="eastAsia"/>
          <w:sz w:val="18"/>
          <w:szCs w:val="18"/>
          <w:lang w:val="en-GB"/>
        </w:rPr>
        <w:instrText>π</w:instrText>
      </w:r>
      <w:r>
        <w:rPr>
          <w:sz w:val="18"/>
          <w:szCs w:val="18"/>
          <w:lang w:val="en-GB"/>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 w:val="18"/>
          <w:szCs w:val="18"/>
          <w:lang w:val="en-GB"/>
        </w:rPr>
        <w:instrText>φ</w:instrText>
      </w:r>
      <w:r>
        <w:rPr>
          <w:sz w:val="18"/>
          <w:szCs w:val="18"/>
          <w:lang w:val="en-GB"/>
        </w:rPr>
        <w:instrText xml:space="preserve">. Ambiguity itself is defined behaviorally and is shown to be characterized by properties of the subjective set of measures </w:instrText>
      </w:r>
      <w:r>
        <w:rPr>
          <w:rFonts w:hint="eastAsia"/>
          <w:sz w:val="18"/>
          <w:szCs w:val="18"/>
          <w:lang w:val="en-GB"/>
        </w:rPr>
        <w:instrText>Π</w:instrText>
      </w:r>
      <w:r>
        <w:rPr>
          <w:sz w:val="18"/>
          <w:szCs w:val="18"/>
          <w:lang w:val="en-GB"/>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 w:val="18"/>
          <w:szCs w:val="18"/>
          <w:lang w:val="en-GB"/>
        </w:rPr>
        <w:fldChar w:fldCharType="separate"/>
      </w:r>
      <w:r w:rsidRPr="009B6C30">
        <w:rPr>
          <w:sz w:val="18"/>
          <w:lang w:val="en-GB"/>
        </w:rPr>
        <w:t xml:space="preserve">Klibanoff et al. </w:t>
      </w:r>
      <w:r>
        <w:rPr>
          <w:sz w:val="18"/>
          <w:lang w:val="en-GB"/>
        </w:rPr>
        <w:t>(</w:t>
      </w:r>
      <w:r w:rsidRPr="009B6C30">
        <w:rPr>
          <w:sz w:val="18"/>
          <w:lang w:val="en-GB"/>
        </w:rPr>
        <w:t>2005)</w:t>
      </w:r>
      <w:r>
        <w:rPr>
          <w:sz w:val="18"/>
          <w:szCs w:val="18"/>
          <w:lang w:val="en-GB"/>
        </w:rPr>
        <w:fldChar w:fldCharType="end"/>
      </w:r>
      <w:r w:rsidRPr="00EF5173">
        <w:rPr>
          <w:sz w:val="18"/>
          <w:szCs w:val="18"/>
          <w:lang w:val="en-GB"/>
        </w:rPr>
        <w:t xml:space="preserve">; the Rank Dependent EU model </w:t>
      </w:r>
      <w:r>
        <w:rPr>
          <w:sz w:val="18"/>
          <w:szCs w:val="18"/>
          <w:lang w:val="en-GB"/>
        </w:rPr>
        <w:t>of</w:t>
      </w:r>
      <w:r w:rsidRPr="00EF5173">
        <w:rPr>
          <w:sz w:val="18"/>
          <w:szCs w:val="18"/>
          <w:lang w:val="en-GB"/>
        </w:rPr>
        <w:t xml:space="preserve"> </w:t>
      </w:r>
      <w:r>
        <w:rPr>
          <w:sz w:val="18"/>
          <w:szCs w:val="18"/>
          <w:lang w:val="en-GB"/>
        </w:rPr>
        <w:fldChar w:fldCharType="begin"/>
      </w:r>
      <w:r>
        <w:rPr>
          <w:sz w:val="18"/>
          <w:szCs w:val="18"/>
          <w:lang w:val="en-GB"/>
        </w:rPr>
        <w:instrText xml:space="preserve"> ADDIN ZOTERO_ITEM CSL_CITATION {"citationID":"MM6HrwGu","properties":{"formattedCitation":"(Quiggin, 1982)","plainCitation":"(Quiggin, 1982)","dontUpdate":true,"noteIndex":1},"citationItems":[{"id":126890,"uris":["http://zotero.org/groups/5657987/items/Q6CZ49PF"],"itemData":{"id":126890,"type":"article-journal","container-title":"Journal of Economic Behavior &amp; Organization","DOI":"10.1016/0167-2681(82)90008-7","ISSN":"01672681","issue":"4","journalAbbreviation":"Journal of Economic Behavior &amp; Organization","language":"en","license":"https://www.elsevier.com/tdm/userlicense/1.0/","page":"323-343","source":"DOI.org (Crossref)","title":"A theory of anticipated utility","volume":"3","author":[{"family":"Quiggin","given":"John"}],"issued":{"date-parts":[["1982",12]]}}}],"schema":"https://github.com/citation-style-language/schema/raw/master/csl-citation.json"} </w:instrText>
      </w:r>
      <w:r>
        <w:rPr>
          <w:sz w:val="18"/>
          <w:szCs w:val="18"/>
          <w:lang w:val="en-GB"/>
        </w:rPr>
        <w:fldChar w:fldCharType="separate"/>
      </w:r>
      <w:r w:rsidRPr="009B6C30">
        <w:rPr>
          <w:sz w:val="18"/>
          <w:lang w:val="en-GB"/>
        </w:rPr>
        <w:t xml:space="preserve">Quiggin </w:t>
      </w:r>
      <w:r>
        <w:rPr>
          <w:sz w:val="18"/>
          <w:lang w:val="en-GB"/>
        </w:rPr>
        <w:t>(</w:t>
      </w:r>
      <w:r w:rsidRPr="009B6C30">
        <w:rPr>
          <w:sz w:val="18"/>
          <w:lang w:val="en-GB"/>
        </w:rPr>
        <w:t>1982)</w:t>
      </w:r>
      <w:r>
        <w:rPr>
          <w:sz w:val="18"/>
          <w:szCs w:val="18"/>
          <w:lang w:val="en-GB"/>
        </w:rPr>
        <w:fldChar w:fldCharType="end"/>
      </w:r>
      <w:r>
        <w:rPr>
          <w:sz w:val="18"/>
          <w:szCs w:val="18"/>
          <w:lang w:val="en-GB"/>
        </w:rPr>
        <w:t>;</w:t>
      </w:r>
      <w:r w:rsidRPr="00EF5173">
        <w:rPr>
          <w:sz w:val="18"/>
          <w:szCs w:val="18"/>
          <w:lang w:val="en-GB"/>
        </w:rPr>
        <w:t xml:space="preserve"> and the Alpha EU model of </w:t>
      </w:r>
      <w:r>
        <w:rPr>
          <w:sz w:val="18"/>
          <w:szCs w:val="18"/>
          <w:lang w:val="en-GB"/>
        </w:rPr>
        <w:fldChar w:fldCharType="begin"/>
      </w:r>
      <w:r>
        <w:rPr>
          <w:sz w:val="18"/>
          <w:szCs w:val="18"/>
          <w:lang w:val="en-GB"/>
        </w:rPr>
        <w:instrText xml:space="preserve"> ADDIN ZOTERO_ITEM CSL_CITATION {"citationID":"78UBkbyG","properties":{"formattedCitation":"(Ghirardato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non second-order models assessed in </w:t>
      </w:r>
      <w:r>
        <w:rPr>
          <w:sz w:val="18"/>
          <w:szCs w:val="18"/>
          <w:lang w:val="en-GB"/>
        </w:rPr>
        <w:fldChar w:fldCharType="begin"/>
      </w:r>
      <w:r>
        <w:rPr>
          <w:sz w:val="18"/>
          <w:szCs w:val="18"/>
          <w:lang w:val="en-GB"/>
        </w:rPr>
        <w:instrText xml:space="preserve"> ADDIN ZOTERO_ITEM CSL_CITATION {"citationID":"muPSP4FU","properties":{"formattedCitation":"(Hey &amp; Pace, 2014)","plainCitation":"(Hey &amp; Pace, 2014)","noteIndex":1},"citationItems":[{"id":127005,"uris":["http://zotero.org/users/14812719/items/G4HZRCCZ"],"itemData":{"id":127005,"type":"article-journal","abstract":"Representing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 w:val="18"/>
          <w:szCs w:val="18"/>
          <w:lang w:val="en-GB"/>
        </w:rPr>
        <w:fldChar w:fldCharType="separate"/>
      </w:r>
      <w:r w:rsidRPr="00D87383">
        <w:rPr>
          <w:sz w:val="18"/>
          <w:lang w:val="en-GB"/>
        </w:rPr>
        <w:t>(Hey &amp; Pace, 2014)</w:t>
      </w:r>
      <w:r>
        <w:rPr>
          <w:sz w:val="18"/>
          <w:szCs w:val="18"/>
          <w:lang w:val="en-GB"/>
        </w:rPr>
        <w:fldChar w:fldCharType="end"/>
      </w:r>
      <w:r>
        <w:rPr>
          <w:sz w:val="18"/>
          <w:szCs w:val="18"/>
          <w:lang w:val="en-GB"/>
        </w:rPr>
        <w:t xml:space="preserve"> include: the Subjective EU model </w:t>
      </w:r>
      <w:r>
        <w:rPr>
          <w:sz w:val="18"/>
          <w:szCs w:val="18"/>
          <w:lang w:val="en-GB"/>
        </w:rPr>
        <w:fldChar w:fldCharType="begin"/>
      </w:r>
      <w:r>
        <w:rPr>
          <w:sz w:val="18"/>
          <w:szCs w:val="18"/>
          <w:lang w:val="en-GB"/>
        </w:rPr>
        <w:instrText xml:space="preserve"> ADDIN ZOTERO_ITEM CSL_CITATION {"citationID":"JCmCPV3M","properties":{"formattedCitation":"(Savage, 1954)","plainCitation":"(Savage, 1954)","noteIndex":1},"citationItems":[{"id":126885,"uris":["http://zotero.org/groups/5657987/items/VBJB9EDZ"],"itemData":{"id":126885,"type":"book","event-place":"New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 w:val="18"/>
          <w:szCs w:val="18"/>
          <w:lang w:val="en-GB"/>
        </w:rPr>
        <w:fldChar w:fldCharType="separate"/>
      </w:r>
      <w:r w:rsidRPr="00D87383">
        <w:rPr>
          <w:sz w:val="18"/>
          <w:lang w:val="en-GB"/>
        </w:rPr>
        <w:t>(Savage, 1954)</w:t>
      </w:r>
      <w:r>
        <w:rPr>
          <w:sz w:val="18"/>
          <w:szCs w:val="18"/>
          <w:lang w:val="en-GB"/>
        </w:rPr>
        <w:fldChar w:fldCharType="end"/>
      </w:r>
      <w:r>
        <w:rPr>
          <w:sz w:val="18"/>
          <w:szCs w:val="18"/>
          <w:lang w:val="en-GB"/>
        </w:rPr>
        <w:t xml:space="preserve">; the </w:t>
      </w:r>
      <w:proofErr w:type="spellStart"/>
      <w:r>
        <w:rPr>
          <w:sz w:val="18"/>
          <w:szCs w:val="18"/>
          <w:lang w:val="en-GB"/>
        </w:rPr>
        <w:t>Choquet</w:t>
      </w:r>
      <w:proofErr w:type="spellEnd"/>
      <w:r>
        <w:rPr>
          <w:sz w:val="18"/>
          <w:szCs w:val="18"/>
          <w:lang w:val="en-GB"/>
        </w:rPr>
        <w:t xml:space="preserve"> EU by </w:t>
      </w:r>
      <w:r>
        <w:rPr>
          <w:sz w:val="18"/>
          <w:szCs w:val="18"/>
          <w:lang w:val="en-GB"/>
        </w:rPr>
        <w:fldChar w:fldCharType="begin"/>
      </w:r>
      <w:r>
        <w:rPr>
          <w:sz w:val="18"/>
          <w:szCs w:val="18"/>
          <w:lang w:val="en-GB"/>
        </w:rPr>
        <w:instrText xml:space="preserve"> ADDIN ZOTERO_ITEM CSL_CITATION {"citationID":"MW1LdMFZ","properties":{"formattedCitation":"(Schmeidler, 1989)","plainCitation":"(Schmeidler, 1989)","noteIndex":1},"citationItems":[{"id":127018,"uris":["http://zotero.org/users/14812719/items/ALACYWIZ"],"itemData":{"id":127018,"type":"article-journal","abstract":"An act maps states of nature to outcomes; deterministic outcomes as well as random outcomes are included. Two acts f and g are comonotonic, by definition, if it never happens that f(s)&gt;f(t) and g(t)&gt;g(s) for some states of nature s and t. An axiom of comonotonic independence is introduced here. It weakens the von Neumann-Morgenstern axiom of independence as follows: If f&gt;g and if f, g, and h are comonotonic, then @af+(1-@a)h&gt;@ag+(1-@a)h. If a nondegenerate, cOntinuous, and monotonic (state independent) weak order over acts satisfies comonotonic independence, then it induces a unique non-(necessarily-)additive probability and a von Neumann-Morgenstern utility. Furthermore, one can compute the expected utility of an act with respect to the nonadditive probability, using the Choquet integral. This extension of the expected utility theory covers situations, as the Ellsbergparadox, which are inconsistent with additive expected utility. The concept of uncertainty aversion and interpretation of comonotonic independence in the context of social welfare functions are included.","container-title":"Econometrica","DOI":"10.2307/1911053","ISSN":"0012-9682","issue":"3","note":"publisher: [Wiley, Econometric Society]","page":"571-587","source":"JSTOR","title":"Subjective Probability and Expected Utility without Additivity","volume":"57","author":[{"family":"Schmeidler","given":"David"}],"issued":{"date-parts":[["1989"]]}}}],"schema":"https://github.com/citation-style-language/schema/raw/master/csl-citation.json"} </w:instrText>
      </w:r>
      <w:r>
        <w:rPr>
          <w:sz w:val="18"/>
          <w:szCs w:val="18"/>
          <w:lang w:val="en-GB"/>
        </w:rPr>
        <w:fldChar w:fldCharType="separate"/>
      </w:r>
      <w:r w:rsidRPr="00967979">
        <w:rPr>
          <w:sz w:val="18"/>
          <w:lang w:val="en-GB"/>
        </w:rPr>
        <w:t>(</w:t>
      </w:r>
      <w:proofErr w:type="spellStart"/>
      <w:r w:rsidRPr="00967979">
        <w:rPr>
          <w:sz w:val="18"/>
          <w:lang w:val="en-GB"/>
        </w:rPr>
        <w:t>Schmeidler</w:t>
      </w:r>
      <w:proofErr w:type="spellEnd"/>
      <w:r w:rsidRPr="00967979">
        <w:rPr>
          <w:sz w:val="18"/>
          <w:lang w:val="en-GB"/>
        </w:rPr>
        <w:t>, 1989)</w:t>
      </w:r>
      <w:r>
        <w:rPr>
          <w:sz w:val="18"/>
          <w:szCs w:val="18"/>
          <w:lang w:val="en-GB"/>
        </w:rPr>
        <w:fldChar w:fldCharType="end"/>
      </w:r>
      <w:r>
        <w:rPr>
          <w:sz w:val="18"/>
          <w:szCs w:val="18"/>
          <w:lang w:val="en-GB"/>
        </w:rPr>
        <w:t xml:space="preserve">; </w:t>
      </w:r>
      <w:r w:rsidRPr="00EF5173">
        <w:rPr>
          <w:sz w:val="18"/>
          <w:szCs w:val="18"/>
          <w:lang w:val="en-GB"/>
        </w:rPr>
        <w:t xml:space="preserve">the Alpha EU model of </w:t>
      </w:r>
      <w:r>
        <w:rPr>
          <w:sz w:val="18"/>
          <w:szCs w:val="18"/>
          <w:lang w:val="en-GB"/>
        </w:rPr>
        <w:fldChar w:fldCharType="begin"/>
      </w:r>
      <w:r>
        <w:rPr>
          <w:sz w:val="18"/>
          <w:szCs w:val="18"/>
          <w:lang w:val="en-GB"/>
        </w:rPr>
        <w:instrText xml:space="preserve"> ADDIN ZOTERO_ITEM CSL_CITATION {"citationID":"9OE14wkS","properties":{"formattedCitation":"(Ghirardato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Vector EU model by </w:t>
      </w:r>
      <w:r>
        <w:rPr>
          <w:sz w:val="18"/>
          <w:szCs w:val="18"/>
          <w:lang w:val="en-GB"/>
        </w:rPr>
        <w:fldChar w:fldCharType="begin"/>
      </w:r>
      <w:r>
        <w:rPr>
          <w:sz w:val="18"/>
          <w:szCs w:val="18"/>
          <w:lang w:val="en-GB"/>
        </w:rPr>
        <w:instrText xml:space="preserve"> ADDIN ZOTERO_ITEM CSL_CITATION {"citationID":"mqUftgSM","properties":{"formattedCitation":"(Siniscalchi, 2009)","plainCitation":"(Siniscalchi, 2009)","noteIndex":1},"citationItems":[{"id":127020,"uris":["http://zotero.org/users/14812719/items/SLVF9TSU"],"itemData":{"id":127020,"type":"article-journal","abstract":"This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 w:val="18"/>
          <w:szCs w:val="18"/>
          <w:lang w:val="en-GB"/>
        </w:rPr>
        <w:fldChar w:fldCharType="separate"/>
      </w:r>
      <w:r w:rsidRPr="00967979">
        <w:rPr>
          <w:sz w:val="18"/>
          <w:lang w:val="en-GB"/>
        </w:rPr>
        <w:t>(Siniscalchi, 2009)</w:t>
      </w:r>
      <w:r>
        <w:rPr>
          <w:sz w:val="18"/>
          <w:szCs w:val="18"/>
          <w:lang w:val="en-GB"/>
        </w:rPr>
        <w:fldChar w:fldCharType="end"/>
      </w:r>
      <w:r>
        <w:rPr>
          <w:sz w:val="18"/>
          <w:szCs w:val="18"/>
          <w:lang w:val="en-GB"/>
        </w:rPr>
        <w:t xml:space="preserve">; and the Contraction Model of </w:t>
      </w:r>
      <w:r>
        <w:rPr>
          <w:sz w:val="18"/>
          <w:szCs w:val="18"/>
          <w:lang w:val="en-GB"/>
        </w:rPr>
        <w:fldChar w:fldCharType="begin"/>
      </w:r>
      <w:r>
        <w:rPr>
          <w:sz w:val="18"/>
          <w:szCs w:val="18"/>
          <w:lang w:val="en-GB"/>
        </w:rPr>
        <w:instrText xml:space="preserve"> ADDIN ZOTERO_ITEM CSL_CITATION {"citationID":"qO3mxfYT","properties":{"formattedCitation":"(Gajdos et al., 2008)","plainCitation":"(Gajdos et al., 2008)","noteIndex":1},"citationItems":[{"id":127024,"uris":["http://zotero.org/users/14812719/items/B8JKLNMJ"],"itemData":{"id":127024,"type":"article-journal","container-title":"Journal of Economic Theory","DOI":"10.1016/j.jet.2007.09.002","ISSN":"0022-0531","issue":"1","language":"en","license":"https://www.elsevier.com/tdm/userlicense/1.0/","note":"publisher: Elsevier BV","page":"27-65","source":"Crossref","title":"Attitude toward imprecise information","volume":"140","author":[{"family":"Gajdos","given":"T."},{"family":"Hayashi","given":"T."},{"family":"Tallon","given":"J.-M."},{"family":"Vergnaud","given":"J.-C."}],"issued":{"date-parts":[["2008",5]]}}}],"schema":"https://github.com/citation-style-language/schema/raw/master/csl-citation.json"} </w:instrText>
      </w:r>
      <w:r>
        <w:rPr>
          <w:sz w:val="18"/>
          <w:szCs w:val="18"/>
          <w:lang w:val="en-GB"/>
        </w:rPr>
        <w:fldChar w:fldCharType="separate"/>
      </w:r>
      <w:r w:rsidRPr="00687FAD">
        <w:rPr>
          <w:sz w:val="18"/>
          <w:lang w:val="en-GB"/>
        </w:rPr>
        <w:t>(Gajdos et al., 2008)</w:t>
      </w:r>
      <w:r>
        <w:rPr>
          <w:sz w:val="18"/>
          <w:szCs w:val="18"/>
          <w:lang w:val="en-GB"/>
        </w:rPr>
        <w:fldChar w:fldCharType="end"/>
      </w:r>
      <w:r>
        <w:rPr>
          <w:sz w:val="18"/>
          <w:szCs w:val="18"/>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D1EBD"/>
    <w:multiLevelType w:val="hybridMultilevel"/>
    <w:tmpl w:val="73BA07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0B1118"/>
    <w:multiLevelType w:val="multilevel"/>
    <w:tmpl w:val="CF80E224"/>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A8C4BB7"/>
    <w:multiLevelType w:val="hybridMultilevel"/>
    <w:tmpl w:val="5422220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EE614BC"/>
    <w:multiLevelType w:val="hybridMultilevel"/>
    <w:tmpl w:val="BBF63BD4"/>
    <w:lvl w:ilvl="0" w:tplc="04090001">
      <w:start w:val="1"/>
      <w:numFmt w:val="bullet"/>
      <w:lvlText w:val=""/>
      <w:lvlJc w:val="left"/>
      <w:pPr>
        <w:ind w:left="360" w:hanging="360"/>
      </w:pPr>
      <w:rPr>
        <w:rFonts w:ascii="Symbol" w:hAnsi="Symbol" w:hint="default"/>
      </w:rPr>
    </w:lvl>
    <w:lvl w:ilvl="1" w:tplc="F4644B36">
      <w:numFmt w:val="bullet"/>
      <w:lvlText w:val="-"/>
      <w:lvlJc w:val="left"/>
      <w:pPr>
        <w:ind w:left="644"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F9142CD"/>
    <w:multiLevelType w:val="hybridMultilevel"/>
    <w:tmpl w:val="5A224D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4520D48"/>
    <w:multiLevelType w:val="multilevel"/>
    <w:tmpl w:val="4D68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9300661">
    <w:abstractNumId w:val="8"/>
  </w:num>
  <w:num w:numId="2" w16cid:durableId="551576474">
    <w:abstractNumId w:val="2"/>
  </w:num>
  <w:num w:numId="3" w16cid:durableId="339547813">
    <w:abstractNumId w:val="5"/>
  </w:num>
  <w:num w:numId="4" w16cid:durableId="2118787338">
    <w:abstractNumId w:val="0"/>
  </w:num>
  <w:num w:numId="5" w16cid:durableId="254632103">
    <w:abstractNumId w:val="6"/>
  </w:num>
  <w:num w:numId="6" w16cid:durableId="480081465">
    <w:abstractNumId w:val="3"/>
  </w:num>
  <w:num w:numId="7" w16cid:durableId="1443648086">
    <w:abstractNumId w:val="1"/>
  </w:num>
  <w:num w:numId="8" w16cid:durableId="1488671130">
    <w:abstractNumId w:val="7"/>
  </w:num>
  <w:num w:numId="9" w16cid:durableId="87257270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None" w15:userId="Meuwissen, Miranda"/>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DD1"/>
    <w:rsid w:val="00011B04"/>
    <w:rsid w:val="00040388"/>
    <w:rsid w:val="000431A0"/>
    <w:rsid w:val="00065330"/>
    <w:rsid w:val="000956D1"/>
    <w:rsid w:val="00097698"/>
    <w:rsid w:val="000A48B8"/>
    <w:rsid w:val="000A565B"/>
    <w:rsid w:val="000C4F00"/>
    <w:rsid w:val="000F469B"/>
    <w:rsid w:val="00122F52"/>
    <w:rsid w:val="001273D2"/>
    <w:rsid w:val="00170B5F"/>
    <w:rsid w:val="00177B74"/>
    <w:rsid w:val="0019739F"/>
    <w:rsid w:val="001E05E8"/>
    <w:rsid w:val="001E1994"/>
    <w:rsid w:val="001F6316"/>
    <w:rsid w:val="001F7F4D"/>
    <w:rsid w:val="00203533"/>
    <w:rsid w:val="00203817"/>
    <w:rsid w:val="00204002"/>
    <w:rsid w:val="002237B7"/>
    <w:rsid w:val="0023427C"/>
    <w:rsid w:val="00244D12"/>
    <w:rsid w:val="00291649"/>
    <w:rsid w:val="002A63D3"/>
    <w:rsid w:val="002A7DED"/>
    <w:rsid w:val="002B219A"/>
    <w:rsid w:val="002B641C"/>
    <w:rsid w:val="00306FF7"/>
    <w:rsid w:val="00327C48"/>
    <w:rsid w:val="003461F1"/>
    <w:rsid w:val="00362290"/>
    <w:rsid w:val="00396B5E"/>
    <w:rsid w:val="003B50D0"/>
    <w:rsid w:val="003B761A"/>
    <w:rsid w:val="003C0C4F"/>
    <w:rsid w:val="004041C5"/>
    <w:rsid w:val="00417015"/>
    <w:rsid w:val="00441E5E"/>
    <w:rsid w:val="004621D6"/>
    <w:rsid w:val="00463DD7"/>
    <w:rsid w:val="004853B5"/>
    <w:rsid w:val="00491901"/>
    <w:rsid w:val="004B74B1"/>
    <w:rsid w:val="004C3189"/>
    <w:rsid w:val="004D2B6E"/>
    <w:rsid w:val="004F2656"/>
    <w:rsid w:val="004F320F"/>
    <w:rsid w:val="005337DB"/>
    <w:rsid w:val="00581DD1"/>
    <w:rsid w:val="00595FAE"/>
    <w:rsid w:val="005A6CBC"/>
    <w:rsid w:val="005B1A69"/>
    <w:rsid w:val="005C42BF"/>
    <w:rsid w:val="005E33D9"/>
    <w:rsid w:val="005E61FB"/>
    <w:rsid w:val="00605A0E"/>
    <w:rsid w:val="006379AA"/>
    <w:rsid w:val="006C05D3"/>
    <w:rsid w:val="006C3BFE"/>
    <w:rsid w:val="006D2ADA"/>
    <w:rsid w:val="007065A2"/>
    <w:rsid w:val="00735BE6"/>
    <w:rsid w:val="00742B60"/>
    <w:rsid w:val="00753AD5"/>
    <w:rsid w:val="007B5DC5"/>
    <w:rsid w:val="007F363B"/>
    <w:rsid w:val="008145F7"/>
    <w:rsid w:val="00814B01"/>
    <w:rsid w:val="00833785"/>
    <w:rsid w:val="008757BE"/>
    <w:rsid w:val="008844A8"/>
    <w:rsid w:val="008A0F10"/>
    <w:rsid w:val="008B68A2"/>
    <w:rsid w:val="008C2CD3"/>
    <w:rsid w:val="008C45F5"/>
    <w:rsid w:val="008E77AD"/>
    <w:rsid w:val="008E7FD9"/>
    <w:rsid w:val="009114C8"/>
    <w:rsid w:val="009347AD"/>
    <w:rsid w:val="009D4C15"/>
    <w:rsid w:val="009F1F98"/>
    <w:rsid w:val="009F4615"/>
    <w:rsid w:val="00A079A4"/>
    <w:rsid w:val="00A163B1"/>
    <w:rsid w:val="00A41319"/>
    <w:rsid w:val="00A55553"/>
    <w:rsid w:val="00AA1E27"/>
    <w:rsid w:val="00AA7888"/>
    <w:rsid w:val="00AB113A"/>
    <w:rsid w:val="00AC2D48"/>
    <w:rsid w:val="00AC47AE"/>
    <w:rsid w:val="00AF60DE"/>
    <w:rsid w:val="00B320B5"/>
    <w:rsid w:val="00B54412"/>
    <w:rsid w:val="00B800EF"/>
    <w:rsid w:val="00B86D58"/>
    <w:rsid w:val="00B90618"/>
    <w:rsid w:val="00B93B9D"/>
    <w:rsid w:val="00BA75E5"/>
    <w:rsid w:val="00BB6AE5"/>
    <w:rsid w:val="00BD2280"/>
    <w:rsid w:val="00BF5E0C"/>
    <w:rsid w:val="00C36197"/>
    <w:rsid w:val="00C418C2"/>
    <w:rsid w:val="00C42B83"/>
    <w:rsid w:val="00C707D7"/>
    <w:rsid w:val="00C73CF8"/>
    <w:rsid w:val="00C91CA4"/>
    <w:rsid w:val="00CA12B3"/>
    <w:rsid w:val="00CB3575"/>
    <w:rsid w:val="00CD003C"/>
    <w:rsid w:val="00D01979"/>
    <w:rsid w:val="00D129C2"/>
    <w:rsid w:val="00D13769"/>
    <w:rsid w:val="00D504CD"/>
    <w:rsid w:val="00D750CB"/>
    <w:rsid w:val="00D75442"/>
    <w:rsid w:val="00D777A2"/>
    <w:rsid w:val="00DA1D81"/>
    <w:rsid w:val="00DC2D06"/>
    <w:rsid w:val="00DC453C"/>
    <w:rsid w:val="00DC7523"/>
    <w:rsid w:val="00DD2DB3"/>
    <w:rsid w:val="00DE1B50"/>
    <w:rsid w:val="00E9386B"/>
    <w:rsid w:val="00E976D1"/>
    <w:rsid w:val="00EC4966"/>
    <w:rsid w:val="00ED397B"/>
    <w:rsid w:val="00EE7350"/>
    <w:rsid w:val="00EE7FB2"/>
    <w:rsid w:val="00F0027D"/>
    <w:rsid w:val="00F01B28"/>
    <w:rsid w:val="00F06356"/>
    <w:rsid w:val="00F267C4"/>
    <w:rsid w:val="00F309B5"/>
    <w:rsid w:val="00F43ACF"/>
    <w:rsid w:val="00F54218"/>
    <w:rsid w:val="00F71C0D"/>
    <w:rsid w:val="00F803CF"/>
    <w:rsid w:val="00F877B1"/>
    <w:rsid w:val="00F92F90"/>
    <w:rsid w:val="00F94034"/>
    <w:rsid w:val="00F96A0D"/>
    <w:rsid w:val="00FA4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1AC0F2"/>
  <w15:chartTrackingRefBased/>
  <w15:docId w15:val="{3AB78DEA-0EFF-41C1-AB65-5130E39C5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DD1"/>
    <w:pPr>
      <w:spacing w:after="0" w:line="240" w:lineRule="auto"/>
    </w:pPr>
    <w:rPr>
      <w:rFonts w:ascii="CG Times" w:eastAsia="Times New Roman" w:hAnsi="CG Times" w:cs="Times New Roman"/>
      <w:szCs w:val="20"/>
      <w:lang w:val="nl-NL"/>
    </w:rPr>
  </w:style>
  <w:style w:type="paragraph" w:styleId="Heading1">
    <w:name w:val="heading 1"/>
    <w:basedOn w:val="Normal"/>
    <w:next w:val="Normal"/>
    <w:link w:val="Heading1Char"/>
    <w:uiPriority w:val="9"/>
    <w:qFormat/>
    <w:rsid w:val="005C42BF"/>
    <w:pPr>
      <w:keepNext/>
      <w:keepLines/>
      <w:numPr>
        <w:numId w:val="2"/>
      </w:numPr>
      <w:spacing w:before="360" w:after="120"/>
      <w:ind w:hanging="36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2B219A"/>
    <w:pPr>
      <w:keepNext/>
      <w:keepLines/>
      <w:spacing w:before="160" w:after="12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327C48"/>
    <w:pPr>
      <w:keepNext/>
      <w:keepLines/>
      <w:spacing w:before="40" w:after="120"/>
      <w:ind w:left="720" w:hanging="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27C48"/>
    <w:pPr>
      <w:keepNext/>
      <w:keepLines/>
      <w:spacing w:before="40" w:after="120"/>
      <w:ind w:left="864" w:hanging="864"/>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327C48"/>
    <w:pPr>
      <w:keepNext/>
      <w:keepLines/>
      <w:spacing w:before="40" w:after="120"/>
      <w:ind w:left="1008" w:hanging="1008"/>
      <w:outlineLvl w:val="4"/>
    </w:pPr>
    <w:rPr>
      <w:rFonts w:asciiTheme="majorHAnsi" w:eastAsiaTheme="majorEastAsia" w:hAnsiTheme="maj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327C48"/>
    <w:pPr>
      <w:keepNext/>
      <w:keepLines/>
      <w:spacing w:before="40" w:after="120"/>
      <w:ind w:left="1152" w:hanging="1152"/>
      <w:outlineLvl w:val="5"/>
    </w:pPr>
    <w:rPr>
      <w:rFonts w:asciiTheme="majorHAnsi" w:eastAsiaTheme="majorEastAsia" w:hAnsiTheme="majorHAnsi" w:cstheme="majorBidi"/>
      <w:color w:val="1F3763" w:themeColor="accent1" w:themeShade="7F"/>
      <w:sz w:val="24"/>
    </w:rPr>
  </w:style>
  <w:style w:type="paragraph" w:styleId="Heading7">
    <w:name w:val="heading 7"/>
    <w:basedOn w:val="Normal"/>
    <w:next w:val="Normal"/>
    <w:link w:val="Heading7Char"/>
    <w:uiPriority w:val="9"/>
    <w:semiHidden/>
    <w:unhideWhenUsed/>
    <w:qFormat/>
    <w:rsid w:val="00327C48"/>
    <w:pPr>
      <w:keepNext/>
      <w:keepLines/>
      <w:spacing w:before="40" w:after="120"/>
      <w:ind w:left="1296" w:hanging="1296"/>
      <w:outlineLvl w:val="6"/>
    </w:pPr>
    <w:rPr>
      <w:rFonts w:asciiTheme="majorHAnsi" w:eastAsiaTheme="majorEastAsia" w:hAnsiTheme="majorHAnsi" w:cstheme="majorBidi"/>
      <w:i/>
      <w:iCs/>
      <w:color w:val="1F3763" w:themeColor="accent1" w:themeShade="7F"/>
      <w:sz w:val="24"/>
    </w:rPr>
  </w:style>
  <w:style w:type="paragraph" w:styleId="Heading8">
    <w:name w:val="heading 8"/>
    <w:basedOn w:val="Normal"/>
    <w:next w:val="Normal"/>
    <w:link w:val="Heading8Char"/>
    <w:uiPriority w:val="9"/>
    <w:semiHidden/>
    <w:unhideWhenUsed/>
    <w:qFormat/>
    <w:rsid w:val="00327C48"/>
    <w:pPr>
      <w:keepNext/>
      <w:keepLines/>
      <w:spacing w:before="40" w:after="12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27C48"/>
    <w:pPr>
      <w:keepNext/>
      <w:keepLines/>
      <w:spacing w:before="40" w:after="12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2BF"/>
    <w:rPr>
      <w:rFonts w:ascii="Times New Roman" w:eastAsiaTheme="majorEastAsia" w:hAnsi="Times New Roman" w:cstheme="majorBidi"/>
      <w:sz w:val="32"/>
      <w:szCs w:val="32"/>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2B219A"/>
    <w:rPr>
      <w:rFonts w:ascii="Times New Roman" w:eastAsiaTheme="majorEastAsia" w:hAnsi="Times New Roman" w:cstheme="majorBidi"/>
      <w:b/>
      <w:sz w:val="26"/>
      <w:szCs w:val="26"/>
    </w:rPr>
  </w:style>
  <w:style w:type="paragraph" w:styleId="ListParagraph">
    <w:name w:val="List Paragraph"/>
    <w:basedOn w:val="Normal"/>
    <w:uiPriority w:val="34"/>
    <w:qFormat/>
    <w:rsid w:val="00AC2D48"/>
    <w:pPr>
      <w:ind w:left="720"/>
      <w:contextualSpacing/>
    </w:pPr>
  </w:style>
  <w:style w:type="table" w:styleId="TableGrid">
    <w:name w:val="Table Grid"/>
    <w:basedOn w:val="TableNormal"/>
    <w:uiPriority w:val="39"/>
    <w:rsid w:val="004D2B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844A8"/>
    <w:rPr>
      <w:sz w:val="16"/>
      <w:szCs w:val="16"/>
    </w:rPr>
  </w:style>
  <w:style w:type="paragraph" w:styleId="CommentText">
    <w:name w:val="annotation text"/>
    <w:basedOn w:val="Normal"/>
    <w:link w:val="CommentTextChar"/>
    <w:uiPriority w:val="99"/>
    <w:unhideWhenUsed/>
    <w:rsid w:val="008844A8"/>
    <w:pPr>
      <w:spacing w:after="160"/>
    </w:pPr>
    <w:rPr>
      <w:rFonts w:ascii="Times New Roman" w:eastAsiaTheme="minorHAnsi" w:hAnsi="Times New Roman" w:cstheme="minorBidi"/>
      <w:sz w:val="20"/>
      <w:lang w:val="en-US"/>
    </w:rPr>
  </w:style>
  <w:style w:type="character" w:customStyle="1" w:styleId="CommentTextChar">
    <w:name w:val="Comment Text Char"/>
    <w:basedOn w:val="DefaultParagraphFont"/>
    <w:link w:val="CommentText"/>
    <w:uiPriority w:val="99"/>
    <w:rsid w:val="008844A8"/>
    <w:rPr>
      <w:rFonts w:ascii="Times New Roman" w:hAnsi="Times New Roman"/>
      <w:sz w:val="20"/>
      <w:szCs w:val="20"/>
    </w:rPr>
  </w:style>
  <w:style w:type="paragraph" w:styleId="FootnoteText">
    <w:name w:val="footnote text"/>
    <w:basedOn w:val="Normal"/>
    <w:link w:val="FootnoteTextChar"/>
    <w:uiPriority w:val="99"/>
    <w:semiHidden/>
    <w:unhideWhenUsed/>
    <w:rsid w:val="00DC2D06"/>
    <w:rPr>
      <w:sz w:val="20"/>
    </w:rPr>
  </w:style>
  <w:style w:type="character" w:customStyle="1" w:styleId="FootnoteTextChar">
    <w:name w:val="Footnote Text Char"/>
    <w:basedOn w:val="DefaultParagraphFont"/>
    <w:link w:val="FootnoteText"/>
    <w:uiPriority w:val="99"/>
    <w:semiHidden/>
    <w:rsid w:val="00DC2D0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DC2D06"/>
    <w:rPr>
      <w:vertAlign w:val="superscript"/>
    </w:rPr>
  </w:style>
  <w:style w:type="character" w:styleId="EndnoteReference">
    <w:name w:val="endnote reference"/>
    <w:basedOn w:val="DefaultParagraphFont"/>
    <w:uiPriority w:val="99"/>
    <w:semiHidden/>
    <w:unhideWhenUsed/>
    <w:rsid w:val="001273D2"/>
    <w:rPr>
      <w:vertAlign w:val="superscript"/>
    </w:rPr>
  </w:style>
  <w:style w:type="paragraph" w:styleId="Revision">
    <w:name w:val="Revision"/>
    <w:hidden/>
    <w:uiPriority w:val="99"/>
    <w:semiHidden/>
    <w:rsid w:val="00C91CA4"/>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327C4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327C48"/>
    <w:rPr>
      <w:rFonts w:asciiTheme="majorHAnsi" w:eastAsiaTheme="majorEastAsia" w:hAnsiTheme="majorHAnsi" w:cstheme="majorBidi"/>
      <w:i/>
      <w:iCs/>
      <w:color w:val="2F5496" w:themeColor="accent1" w:themeShade="BF"/>
      <w:sz w:val="24"/>
      <w:szCs w:val="20"/>
      <w:lang w:val="nl-NL"/>
    </w:rPr>
  </w:style>
  <w:style w:type="character" w:customStyle="1" w:styleId="Heading5Char">
    <w:name w:val="Heading 5 Char"/>
    <w:basedOn w:val="DefaultParagraphFont"/>
    <w:link w:val="Heading5"/>
    <w:uiPriority w:val="9"/>
    <w:semiHidden/>
    <w:rsid w:val="00327C48"/>
    <w:rPr>
      <w:rFonts w:asciiTheme="majorHAnsi" w:eastAsiaTheme="majorEastAsia" w:hAnsiTheme="majorHAnsi" w:cstheme="majorBidi"/>
      <w:color w:val="2F5496" w:themeColor="accent1" w:themeShade="BF"/>
      <w:sz w:val="24"/>
      <w:szCs w:val="20"/>
      <w:lang w:val="nl-NL"/>
    </w:rPr>
  </w:style>
  <w:style w:type="character" w:customStyle="1" w:styleId="Heading6Char">
    <w:name w:val="Heading 6 Char"/>
    <w:basedOn w:val="DefaultParagraphFont"/>
    <w:link w:val="Heading6"/>
    <w:uiPriority w:val="9"/>
    <w:semiHidden/>
    <w:rsid w:val="00327C48"/>
    <w:rPr>
      <w:rFonts w:asciiTheme="majorHAnsi" w:eastAsiaTheme="majorEastAsia" w:hAnsiTheme="majorHAnsi" w:cstheme="majorBidi"/>
      <w:color w:val="1F3763" w:themeColor="accent1" w:themeShade="7F"/>
      <w:sz w:val="24"/>
      <w:szCs w:val="20"/>
      <w:lang w:val="nl-NL"/>
    </w:rPr>
  </w:style>
  <w:style w:type="character" w:customStyle="1" w:styleId="Heading7Char">
    <w:name w:val="Heading 7 Char"/>
    <w:basedOn w:val="DefaultParagraphFont"/>
    <w:link w:val="Heading7"/>
    <w:uiPriority w:val="9"/>
    <w:semiHidden/>
    <w:rsid w:val="00327C48"/>
    <w:rPr>
      <w:rFonts w:asciiTheme="majorHAnsi" w:eastAsiaTheme="majorEastAsia" w:hAnsiTheme="majorHAnsi" w:cstheme="majorBidi"/>
      <w:i/>
      <w:iCs/>
      <w:color w:val="1F3763" w:themeColor="accent1" w:themeShade="7F"/>
      <w:sz w:val="24"/>
      <w:szCs w:val="20"/>
      <w:lang w:val="nl-NL"/>
    </w:rPr>
  </w:style>
  <w:style w:type="character" w:customStyle="1" w:styleId="Heading8Char">
    <w:name w:val="Heading 8 Char"/>
    <w:basedOn w:val="DefaultParagraphFont"/>
    <w:link w:val="Heading8"/>
    <w:uiPriority w:val="9"/>
    <w:semiHidden/>
    <w:rsid w:val="00327C4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327C48"/>
    <w:rPr>
      <w:rFonts w:asciiTheme="majorHAnsi" w:eastAsiaTheme="majorEastAsia" w:hAnsiTheme="majorHAnsi" w:cstheme="majorBidi"/>
      <w:i/>
      <w:iCs/>
      <w:color w:val="272727" w:themeColor="text1" w:themeTint="D8"/>
      <w:sz w:val="21"/>
      <w:szCs w:val="21"/>
      <w:lang w:val="nl-NL"/>
    </w:rPr>
  </w:style>
  <w:style w:type="character" w:styleId="Hyperlink">
    <w:name w:val="Hyperlink"/>
    <w:basedOn w:val="DefaultParagraphFont"/>
    <w:uiPriority w:val="99"/>
    <w:unhideWhenUsed/>
    <w:rsid w:val="00327C48"/>
    <w:rPr>
      <w:color w:val="0563C1" w:themeColor="hyperlink"/>
      <w:u w:val="single"/>
    </w:rPr>
  </w:style>
  <w:style w:type="paragraph" w:customStyle="1" w:styleId="papertitle">
    <w:name w:val="paper_title"/>
    <w:basedOn w:val="Normal"/>
    <w:rsid w:val="009114C8"/>
    <w:pPr>
      <w:spacing w:before="100" w:beforeAutospacing="1" w:after="100" w:afterAutospacing="1"/>
    </w:pPr>
    <w:rPr>
      <w:rFonts w:ascii="Times New Roman" w:hAnsi="Times New Roman"/>
      <w:sz w:val="24"/>
      <w:szCs w:val="24"/>
      <w:lang w:val="en-GB" w:eastAsia="en-GB"/>
    </w:rPr>
  </w:style>
  <w:style w:type="paragraph" w:customStyle="1" w:styleId="papersymposiumauthors">
    <w:name w:val="paper_symposium_authors"/>
    <w:basedOn w:val="Normal"/>
    <w:rsid w:val="009114C8"/>
    <w:pPr>
      <w:spacing w:before="100" w:beforeAutospacing="1" w:after="100" w:afterAutospacing="1"/>
    </w:pPr>
    <w:rPr>
      <w:rFonts w:ascii="Times New Roman" w:hAnsi="Times New Roman"/>
      <w:sz w:val="24"/>
      <w:szCs w:val="24"/>
      <w:lang w:val="en-GB" w:eastAsia="en-GB"/>
    </w:rPr>
  </w:style>
  <w:style w:type="character" w:customStyle="1" w:styleId="papersymposiumauthor">
    <w:name w:val="paper_symposium_author"/>
    <w:basedOn w:val="DefaultParagraphFont"/>
    <w:rsid w:val="009114C8"/>
  </w:style>
  <w:style w:type="character" w:customStyle="1" w:styleId="papersymposumorganisation">
    <w:name w:val="paper_symposum_organisation"/>
    <w:basedOn w:val="DefaultParagraphFont"/>
    <w:rsid w:val="009114C8"/>
  </w:style>
  <w:style w:type="paragraph" w:customStyle="1" w:styleId="paperabstract">
    <w:name w:val="paper_abstract"/>
    <w:basedOn w:val="Normal"/>
    <w:rsid w:val="009114C8"/>
    <w:pPr>
      <w:spacing w:before="100" w:beforeAutospacing="1" w:after="100" w:afterAutospacing="1"/>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2786441">
      <w:bodyDiv w:val="1"/>
      <w:marLeft w:val="0"/>
      <w:marRight w:val="0"/>
      <w:marTop w:val="0"/>
      <w:marBottom w:val="0"/>
      <w:divBdr>
        <w:top w:val="none" w:sz="0" w:space="0" w:color="auto"/>
        <w:left w:val="none" w:sz="0" w:space="0" w:color="auto"/>
        <w:bottom w:val="none" w:sz="0" w:space="0" w:color="auto"/>
        <w:right w:val="none" w:sz="0" w:space="0" w:color="auto"/>
      </w:divBdr>
    </w:div>
    <w:div w:id="657421328">
      <w:bodyDiv w:val="1"/>
      <w:marLeft w:val="0"/>
      <w:marRight w:val="0"/>
      <w:marTop w:val="0"/>
      <w:marBottom w:val="0"/>
      <w:divBdr>
        <w:top w:val="none" w:sz="0" w:space="0" w:color="auto"/>
        <w:left w:val="none" w:sz="0" w:space="0" w:color="auto"/>
        <w:bottom w:val="none" w:sz="0" w:space="0" w:color="auto"/>
        <w:right w:val="none" w:sz="0" w:space="0" w:color="auto"/>
      </w:divBdr>
      <w:divsChild>
        <w:div w:id="499083009">
          <w:marLeft w:val="0"/>
          <w:marRight w:val="0"/>
          <w:marTop w:val="48"/>
          <w:marBottom w:val="0"/>
          <w:divBdr>
            <w:top w:val="none" w:sz="0" w:space="0" w:color="auto"/>
            <w:left w:val="none" w:sz="0" w:space="0" w:color="auto"/>
            <w:bottom w:val="none" w:sz="0" w:space="0" w:color="auto"/>
            <w:right w:val="none" w:sz="0" w:space="0" w:color="auto"/>
          </w:divBdr>
        </w:div>
      </w:divsChild>
    </w:div>
    <w:div w:id="1220942588">
      <w:bodyDiv w:val="1"/>
      <w:marLeft w:val="0"/>
      <w:marRight w:val="0"/>
      <w:marTop w:val="0"/>
      <w:marBottom w:val="0"/>
      <w:divBdr>
        <w:top w:val="none" w:sz="0" w:space="0" w:color="auto"/>
        <w:left w:val="none" w:sz="0" w:space="0" w:color="auto"/>
        <w:bottom w:val="none" w:sz="0" w:space="0" w:color="auto"/>
        <w:right w:val="none" w:sz="0" w:space="0" w:color="auto"/>
      </w:divBdr>
    </w:div>
    <w:div w:id="205739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gridata.ec.europa.eu/extensions/DashboardFertiliser/FertiliserPrices.html" TargetMode="Externa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teseo.clal.it/?section=fertilizzanti_torin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wageningenur4-my.sharepoint.com/personal/riccardo_spada_wur_nl/Documents/PhD_RiccardoSpada/03_Research%20Proposal/Data/CMO-Historical-Data-Monthl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Sheet4!$C$10</c:f>
              <c:strCache>
                <c:ptCount val="1"/>
                <c:pt idx="0">
                  <c:v>Energy index</c:v>
                </c:pt>
              </c:strCache>
            </c:strRef>
          </c:tx>
          <c:spPr>
            <a:ln w="28575" cap="rnd">
              <a:solidFill>
                <a:schemeClr val="accent1"/>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Sheet4!$C$11:$C$240</c:f>
              <c:numCache>
                <c:formatCode>0.00</c:formatCode>
                <c:ptCount val="230"/>
                <c:pt idx="0">
                  <c:v>60.765990337669997</c:v>
                </c:pt>
                <c:pt idx="1">
                  <c:v>61.984719606810003</c:v>
                </c:pt>
                <c:pt idx="2">
                  <c:v>71.119640953109993</c:v>
                </c:pt>
                <c:pt idx="3">
                  <c:v>70.253333226500004</c:v>
                </c:pt>
                <c:pt idx="4">
                  <c:v>65.993949425970001</c:v>
                </c:pt>
                <c:pt idx="5">
                  <c:v>72.913231814390002</c:v>
                </c:pt>
                <c:pt idx="6">
                  <c:v>77.245863353839994</c:v>
                </c:pt>
                <c:pt idx="7">
                  <c:v>86.781686235400002</c:v>
                </c:pt>
                <c:pt idx="8">
                  <c:v>89.692386260589998</c:v>
                </c:pt>
                <c:pt idx="9">
                  <c:v>86.035961028779994</c:v>
                </c:pt>
                <c:pt idx="10">
                  <c:v>78.714618870820004</c:v>
                </c:pt>
                <c:pt idx="11">
                  <c:v>83.15138308185</c:v>
                </c:pt>
                <c:pt idx="12">
                  <c:v>85.428253039609999</c:v>
                </c:pt>
                <c:pt idx="13">
                  <c:v>80.260733300319998</c:v>
                </c:pt>
                <c:pt idx="14">
                  <c:v>82.070085726049996</c:v>
                </c:pt>
                <c:pt idx="15">
                  <c:v>91.300561780519999</c:v>
                </c:pt>
                <c:pt idx="16">
                  <c:v>89.864789165239998</c:v>
                </c:pt>
                <c:pt idx="17">
                  <c:v>88.454157684560002</c:v>
                </c:pt>
                <c:pt idx="18">
                  <c:v>94.02883652845</c:v>
                </c:pt>
                <c:pt idx="19">
                  <c:v>94.708983011659996</c:v>
                </c:pt>
                <c:pt idx="20">
                  <c:v>80.288117281349997</c:v>
                </c:pt>
                <c:pt idx="21">
                  <c:v>76.989093109400002</c:v>
                </c:pt>
                <c:pt idx="22">
                  <c:v>79.151896185509997</c:v>
                </c:pt>
                <c:pt idx="23">
                  <c:v>82.226495082770001</c:v>
                </c:pt>
                <c:pt idx="24">
                  <c:v>73.60813299934</c:v>
                </c:pt>
                <c:pt idx="25">
                  <c:v>79.14058224675</c:v>
                </c:pt>
                <c:pt idx="26">
                  <c:v>82.705339382389994</c:v>
                </c:pt>
                <c:pt idx="27">
                  <c:v>88.755110522419997</c:v>
                </c:pt>
                <c:pt idx="28">
                  <c:v>88.865324368309999</c:v>
                </c:pt>
                <c:pt idx="29">
                  <c:v>92.819897440510005</c:v>
                </c:pt>
                <c:pt idx="30">
                  <c:v>97.986628468679996</c:v>
                </c:pt>
                <c:pt idx="31">
                  <c:v>91.384298362440006</c:v>
                </c:pt>
                <c:pt idx="32">
                  <c:v>98.065731954330005</c:v>
                </c:pt>
                <c:pt idx="33">
                  <c:v>105.72020739341001</c:v>
                </c:pt>
                <c:pt idx="34">
                  <c:v>117.09671033074</c:v>
                </c:pt>
                <c:pt idx="35">
                  <c:v>116.28180289530999</c:v>
                </c:pt>
                <c:pt idx="36">
                  <c:v>118.60395290539</c:v>
                </c:pt>
                <c:pt idx="37">
                  <c:v>124.40291629159</c:v>
                </c:pt>
                <c:pt idx="38">
                  <c:v>133.99362166159</c:v>
                </c:pt>
                <c:pt idx="39">
                  <c:v>143.13408248550999</c:v>
                </c:pt>
                <c:pt idx="40">
                  <c:v>159.76369173084001</c:v>
                </c:pt>
                <c:pt idx="41">
                  <c:v>172.74148353346999</c:v>
                </c:pt>
                <c:pt idx="42">
                  <c:v>173.48356238064</c:v>
                </c:pt>
                <c:pt idx="43">
                  <c:v>147.61430086908999</c:v>
                </c:pt>
                <c:pt idx="44">
                  <c:v>130.9818854831</c:v>
                </c:pt>
                <c:pt idx="45">
                  <c:v>100.50010571835</c:v>
                </c:pt>
                <c:pt idx="46">
                  <c:v>78.807557234209995</c:v>
                </c:pt>
                <c:pt idx="47">
                  <c:v>64.381984038110005</c:v>
                </c:pt>
                <c:pt idx="48">
                  <c:v>66.273161083250002</c:v>
                </c:pt>
                <c:pt idx="49">
                  <c:v>61.802031308709999</c:v>
                </c:pt>
                <c:pt idx="50">
                  <c:v>64.053166896090005</c:v>
                </c:pt>
                <c:pt idx="51">
                  <c:v>66.515776330600005</c:v>
                </c:pt>
                <c:pt idx="52">
                  <c:v>74.240901022149998</c:v>
                </c:pt>
                <c:pt idx="53">
                  <c:v>85.799651559129998</c:v>
                </c:pt>
                <c:pt idx="54">
                  <c:v>80.806867058120005</c:v>
                </c:pt>
                <c:pt idx="55">
                  <c:v>88.637519932510003</c:v>
                </c:pt>
                <c:pt idx="56">
                  <c:v>83.204295081300003</c:v>
                </c:pt>
                <c:pt idx="57">
                  <c:v>90.893219979999998</c:v>
                </c:pt>
                <c:pt idx="58">
                  <c:v>95.012508100199994</c:v>
                </c:pt>
                <c:pt idx="59">
                  <c:v>95.039782082990001</c:v>
                </c:pt>
                <c:pt idx="60">
                  <c:v>98.504238046880005</c:v>
                </c:pt>
                <c:pt idx="61">
                  <c:v>95.603406405309997</c:v>
                </c:pt>
                <c:pt idx="62">
                  <c:v>99.577030797960006</c:v>
                </c:pt>
                <c:pt idx="63">
                  <c:v>104.85014108311999</c:v>
                </c:pt>
                <c:pt idx="64">
                  <c:v>95.678948899000005</c:v>
                </c:pt>
                <c:pt idx="65">
                  <c:v>95.097065575100004</c:v>
                </c:pt>
                <c:pt idx="66">
                  <c:v>94.878998056010005</c:v>
                </c:pt>
                <c:pt idx="67">
                  <c:v>96.454098892489995</c:v>
                </c:pt>
                <c:pt idx="68">
                  <c:v>97.22504240069</c:v>
                </c:pt>
                <c:pt idx="69">
                  <c:v>102.18881522845</c:v>
                </c:pt>
                <c:pt idx="70">
                  <c:v>106.08754104042001</c:v>
                </c:pt>
                <c:pt idx="71">
                  <c:v>113.85467357457</c:v>
                </c:pt>
                <c:pt idx="72">
                  <c:v>120.13082648311</c:v>
                </c:pt>
                <c:pt idx="73">
                  <c:v>127.43908847514</c:v>
                </c:pt>
                <c:pt idx="74">
                  <c:v>138.374412181</c:v>
                </c:pt>
                <c:pt idx="75">
                  <c:v>148.26435485958999</c:v>
                </c:pt>
                <c:pt idx="76">
                  <c:v>139.06135555092999</c:v>
                </c:pt>
                <c:pt idx="77">
                  <c:v>138.72306013318999</c:v>
                </c:pt>
                <c:pt idx="78">
                  <c:v>141.94397979857001</c:v>
                </c:pt>
                <c:pt idx="79">
                  <c:v>134.60285853753999</c:v>
                </c:pt>
                <c:pt idx="80">
                  <c:v>135.38982620076999</c:v>
                </c:pt>
                <c:pt idx="81">
                  <c:v>133.58900883856001</c:v>
                </c:pt>
                <c:pt idx="82">
                  <c:v>133.96953867158999</c:v>
                </c:pt>
                <c:pt idx="83">
                  <c:v>131.0925390605</c:v>
                </c:pt>
                <c:pt idx="84">
                  <c:v>134.11352856145999</c:v>
                </c:pt>
                <c:pt idx="85">
                  <c:v>142.78714370310001</c:v>
                </c:pt>
                <c:pt idx="86">
                  <c:v>147.88340346397001</c:v>
                </c:pt>
                <c:pt idx="87">
                  <c:v>142.42801169257999</c:v>
                </c:pt>
                <c:pt idx="88">
                  <c:v>132.27917090896</c:v>
                </c:pt>
                <c:pt idx="89">
                  <c:v>115.96677036253</c:v>
                </c:pt>
                <c:pt idx="90">
                  <c:v>124.55944939168</c:v>
                </c:pt>
                <c:pt idx="91">
                  <c:v>135.37886781028999</c:v>
                </c:pt>
                <c:pt idx="92">
                  <c:v>135.21456485277</c:v>
                </c:pt>
                <c:pt idx="93">
                  <c:v>134.15051036755</c:v>
                </c:pt>
                <c:pt idx="94">
                  <c:v>132.33350046750999</c:v>
                </c:pt>
                <c:pt idx="95">
                  <c:v>132.37473716727001</c:v>
                </c:pt>
                <c:pt idx="96">
                  <c:v>135.93198153234999</c:v>
                </c:pt>
                <c:pt idx="97">
                  <c:v>139.79240051329</c:v>
                </c:pt>
                <c:pt idx="98">
                  <c:v>132.53688317922001</c:v>
                </c:pt>
                <c:pt idx="99">
                  <c:v>126.60937469563</c:v>
                </c:pt>
                <c:pt idx="100">
                  <c:v>126.30164168444</c:v>
                </c:pt>
                <c:pt idx="101">
                  <c:v>125.71450215023999</c:v>
                </c:pt>
                <c:pt idx="102">
                  <c:v>129.88631425273999</c:v>
                </c:pt>
                <c:pt idx="103">
                  <c:v>133.04242050068001</c:v>
                </c:pt>
                <c:pt idx="104">
                  <c:v>133.77322248939001</c:v>
                </c:pt>
                <c:pt idx="105">
                  <c:v>131.74519296599999</c:v>
                </c:pt>
                <c:pt idx="106">
                  <c:v>130.34830337691</c:v>
                </c:pt>
                <c:pt idx="107">
                  <c:v>134.15338102158</c:v>
                </c:pt>
                <c:pt idx="108">
                  <c:v>131.21821073733</c:v>
                </c:pt>
                <c:pt idx="109">
                  <c:v>133.96655058107001</c:v>
                </c:pt>
                <c:pt idx="110">
                  <c:v>130.66761978161</c:v>
                </c:pt>
                <c:pt idx="111">
                  <c:v>130.67833077146</c:v>
                </c:pt>
                <c:pt idx="112">
                  <c:v>132.32730088100999</c:v>
                </c:pt>
                <c:pt idx="113">
                  <c:v>134.32371694167</c:v>
                </c:pt>
                <c:pt idx="114">
                  <c:v>127.94733367713999</c:v>
                </c:pt>
                <c:pt idx="115">
                  <c:v>122.39020436574</c:v>
                </c:pt>
                <c:pt idx="116">
                  <c:v>117.43723625729</c:v>
                </c:pt>
                <c:pt idx="117">
                  <c:v>106.77311100541</c:v>
                </c:pt>
                <c:pt idx="118">
                  <c:v>97.303462084840007</c:v>
                </c:pt>
                <c:pt idx="119">
                  <c:v>79.795215688959999</c:v>
                </c:pt>
                <c:pt idx="120">
                  <c:v>63.749080999050001</c:v>
                </c:pt>
                <c:pt idx="121">
                  <c:v>73.766194665800001</c:v>
                </c:pt>
                <c:pt idx="122">
                  <c:v>71.14510517814</c:v>
                </c:pt>
                <c:pt idx="123">
                  <c:v>73.358851989350001</c:v>
                </c:pt>
                <c:pt idx="124">
                  <c:v>79.257397609989994</c:v>
                </c:pt>
                <c:pt idx="125">
                  <c:v>76.684858160760001</c:v>
                </c:pt>
                <c:pt idx="126">
                  <c:v>69.973978567570001</c:v>
                </c:pt>
                <c:pt idx="127">
                  <c:v>60.265307898800003</c:v>
                </c:pt>
                <c:pt idx="128">
                  <c:v>60.309278999839997</c:v>
                </c:pt>
                <c:pt idx="129">
                  <c:v>60.507970163560003</c:v>
                </c:pt>
                <c:pt idx="130">
                  <c:v>55.870897468430002</c:v>
                </c:pt>
                <c:pt idx="131">
                  <c:v>48.300350309320002</c:v>
                </c:pt>
                <c:pt idx="132">
                  <c:v>40.856135765440001</c:v>
                </c:pt>
                <c:pt idx="133">
                  <c:v>42.84032596702</c:v>
                </c:pt>
                <c:pt idx="134">
                  <c:v>48.741172165750001</c:v>
                </c:pt>
                <c:pt idx="135">
                  <c:v>52.276382469360001</c:v>
                </c:pt>
                <c:pt idx="136">
                  <c:v>57.653930704739999</c:v>
                </c:pt>
                <c:pt idx="137">
                  <c:v>60.2313572061</c:v>
                </c:pt>
                <c:pt idx="138">
                  <c:v>57.278804241449997</c:v>
                </c:pt>
                <c:pt idx="139">
                  <c:v>58.415626040550002</c:v>
                </c:pt>
                <c:pt idx="140">
                  <c:v>59.086695117170002</c:v>
                </c:pt>
                <c:pt idx="141">
                  <c:v>64.394119652000001</c:v>
                </c:pt>
                <c:pt idx="142">
                  <c:v>60.92628963232</c:v>
                </c:pt>
                <c:pt idx="143">
                  <c:v>69.585765567280006</c:v>
                </c:pt>
                <c:pt idx="144">
                  <c:v>70.230703261909994</c:v>
                </c:pt>
                <c:pt idx="145">
                  <c:v>70.098830779850005</c:v>
                </c:pt>
                <c:pt idx="146">
                  <c:v>65.937610414250003</c:v>
                </c:pt>
                <c:pt idx="147">
                  <c:v>67.436880445930001</c:v>
                </c:pt>
                <c:pt idx="148">
                  <c:v>64.866420131850006</c:v>
                </c:pt>
                <c:pt idx="149">
                  <c:v>60.609711681230003</c:v>
                </c:pt>
                <c:pt idx="150">
                  <c:v>62.907359898389998</c:v>
                </c:pt>
                <c:pt idx="151">
                  <c:v>66.40945721224</c:v>
                </c:pt>
                <c:pt idx="152">
                  <c:v>70.740938579919998</c:v>
                </c:pt>
                <c:pt idx="153">
                  <c:v>73.276457646669996</c:v>
                </c:pt>
                <c:pt idx="154">
                  <c:v>78.953262920979995</c:v>
                </c:pt>
                <c:pt idx="155">
                  <c:v>80.828238226509995</c:v>
                </c:pt>
                <c:pt idx="156">
                  <c:v>87.411860770849998</c:v>
                </c:pt>
                <c:pt idx="157">
                  <c:v>82.111502349419993</c:v>
                </c:pt>
                <c:pt idx="158">
                  <c:v>82.814709434989993</c:v>
                </c:pt>
                <c:pt idx="159">
                  <c:v>88.397451615129995</c:v>
                </c:pt>
                <c:pt idx="160">
                  <c:v>94.596396064450005</c:v>
                </c:pt>
                <c:pt idx="161">
                  <c:v>93.668528431840002</c:v>
                </c:pt>
                <c:pt idx="162">
                  <c:v>93.028863211269993</c:v>
                </c:pt>
                <c:pt idx="163">
                  <c:v>91.986125269400006</c:v>
                </c:pt>
                <c:pt idx="164">
                  <c:v>98.724499478979993</c:v>
                </c:pt>
                <c:pt idx="165">
                  <c:v>100.22216927105001</c:v>
                </c:pt>
                <c:pt idx="166">
                  <c:v>84.436807089349998</c:v>
                </c:pt>
                <c:pt idx="167">
                  <c:v>74.898746476230002</c:v>
                </c:pt>
                <c:pt idx="168">
                  <c:v>76.204770869439997</c:v>
                </c:pt>
                <c:pt idx="169">
                  <c:v>80.086039187560004</c:v>
                </c:pt>
                <c:pt idx="170">
                  <c:v>82.223200894480001</c:v>
                </c:pt>
                <c:pt idx="171">
                  <c:v>86.426732016390005</c:v>
                </c:pt>
                <c:pt idx="172">
                  <c:v>85.175772722389993</c:v>
                </c:pt>
                <c:pt idx="173">
                  <c:v>76.339271573280001</c:v>
                </c:pt>
                <c:pt idx="174">
                  <c:v>77.038421632340004</c:v>
                </c:pt>
                <c:pt idx="175">
                  <c:v>71.591633735710005</c:v>
                </c:pt>
                <c:pt idx="176">
                  <c:v>75.564741995700004</c:v>
                </c:pt>
                <c:pt idx="177">
                  <c:v>72.67367319761</c:v>
                </c:pt>
                <c:pt idx="178">
                  <c:v>76.617646080699998</c:v>
                </c:pt>
                <c:pt idx="179">
                  <c:v>79.078663331640001</c:v>
                </c:pt>
                <c:pt idx="180">
                  <c:v>76.057828057839998</c:v>
                </c:pt>
                <c:pt idx="181">
                  <c:v>66.308740829269993</c:v>
                </c:pt>
                <c:pt idx="182">
                  <c:v>42.647247759599999</c:v>
                </c:pt>
                <c:pt idx="183">
                  <c:v>31.632310121780002</c:v>
                </c:pt>
                <c:pt idx="184">
                  <c:v>39.246875800890002</c:v>
                </c:pt>
                <c:pt idx="185">
                  <c:v>48.523159500200002</c:v>
                </c:pt>
                <c:pt idx="186">
                  <c:v>51.649745488199997</c:v>
                </c:pt>
                <c:pt idx="187">
                  <c:v>54.301745283290003</c:v>
                </c:pt>
                <c:pt idx="188">
                  <c:v>51.168817719720003</c:v>
                </c:pt>
                <c:pt idx="189">
                  <c:v>51.620793405160001</c:v>
                </c:pt>
                <c:pt idx="190">
                  <c:v>55.301815954589998</c:v>
                </c:pt>
                <c:pt idx="191">
                  <c:v>63.74668437007</c:v>
                </c:pt>
                <c:pt idx="192">
                  <c:v>69.882566118</c:v>
                </c:pt>
                <c:pt idx="193">
                  <c:v>80.381943473120003</c:v>
                </c:pt>
                <c:pt idx="194">
                  <c:v>80.765236734769999</c:v>
                </c:pt>
                <c:pt idx="195">
                  <c:v>80.801717665669997</c:v>
                </c:pt>
                <c:pt idx="196">
                  <c:v>86.284860809250006</c:v>
                </c:pt>
                <c:pt idx="197">
                  <c:v>93.918952779549997</c:v>
                </c:pt>
                <c:pt idx="198">
                  <c:v>98.289416530970001</c:v>
                </c:pt>
                <c:pt idx="199">
                  <c:v>96.323598931579994</c:v>
                </c:pt>
                <c:pt idx="200">
                  <c:v>107.17858644213</c:v>
                </c:pt>
                <c:pt idx="201">
                  <c:v>123.36989210288</c:v>
                </c:pt>
                <c:pt idx="202">
                  <c:v>115.00870344115</c:v>
                </c:pt>
                <c:pt idx="203">
                  <c:v>112.37295836686</c:v>
                </c:pt>
                <c:pt idx="204">
                  <c:v>121.30988558842</c:v>
                </c:pt>
                <c:pt idx="205">
                  <c:v>133.31424055374001</c:v>
                </c:pt>
                <c:pt idx="206">
                  <c:v>166.73239302763</c:v>
                </c:pt>
                <c:pt idx="207">
                  <c:v>153.18659162076</c:v>
                </c:pt>
                <c:pt idx="208">
                  <c:v>163.63299774551001</c:v>
                </c:pt>
                <c:pt idx="209">
                  <c:v>173.48221112800999</c:v>
                </c:pt>
                <c:pt idx="210">
                  <c:v>171.75250650948999</c:v>
                </c:pt>
                <c:pt idx="211">
                  <c:v>172.77086426624999</c:v>
                </c:pt>
                <c:pt idx="212">
                  <c:v>158.17363839615001</c:v>
                </c:pt>
                <c:pt idx="213">
                  <c:v>146.1725229079</c:v>
                </c:pt>
                <c:pt idx="214">
                  <c:v>139.44136053757001</c:v>
                </c:pt>
                <c:pt idx="215">
                  <c:v>130.91804770227</c:v>
                </c:pt>
                <c:pt idx="216">
                  <c:v>119.29483540626001</c:v>
                </c:pt>
                <c:pt idx="217">
                  <c:v>110.53012409471</c:v>
                </c:pt>
                <c:pt idx="218">
                  <c:v>103.46584154991</c:v>
                </c:pt>
                <c:pt idx="219">
                  <c:v>109.26437084516</c:v>
                </c:pt>
                <c:pt idx="220">
                  <c:v>96.907889415330004</c:v>
                </c:pt>
                <c:pt idx="221">
                  <c:v>95.174036364239996</c:v>
                </c:pt>
                <c:pt idx="222">
                  <c:v>100.85881612729</c:v>
                </c:pt>
                <c:pt idx="223">
                  <c:v>108.71200636355</c:v>
                </c:pt>
                <c:pt idx="224">
                  <c:v>117.72930651723</c:v>
                </c:pt>
                <c:pt idx="225">
                  <c:v>115.68359866876</c:v>
                </c:pt>
                <c:pt idx="226">
                  <c:v>106.19514291231</c:v>
                </c:pt>
                <c:pt idx="227">
                  <c:v>99.608161890199995</c:v>
                </c:pt>
                <c:pt idx="228">
                  <c:v>101.17928818347001</c:v>
                </c:pt>
                <c:pt idx="229">
                  <c:v>102.26184991178</c:v>
                </c:pt>
              </c:numCache>
            </c:numRef>
          </c:val>
          <c:smooth val="0"/>
          <c:extLst>
            <c:ext xmlns:c16="http://schemas.microsoft.com/office/drawing/2014/chart" uri="{C3380CC4-5D6E-409C-BE32-E72D297353CC}">
              <c16:uniqueId val="{00000000-247A-4552-95C9-03CED073F479}"/>
            </c:ext>
          </c:extLst>
        </c:ser>
        <c:ser>
          <c:idx val="1"/>
          <c:order val="1"/>
          <c:tx>
            <c:strRef>
              <c:f>Sheet4!$D$10</c:f>
              <c:strCache>
                <c:ptCount val="1"/>
                <c:pt idx="0">
                  <c:v>Fertilizers index</c:v>
                </c:pt>
              </c:strCache>
            </c:strRef>
          </c:tx>
          <c:spPr>
            <a:ln w="28575" cap="rnd">
              <a:solidFill>
                <a:srgbClr val="002060"/>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Sheet4!$D$11:$D$240</c:f>
              <c:numCache>
                <c:formatCode>0.00</c:formatCode>
                <c:ptCount val="230"/>
                <c:pt idx="0">
                  <c:v>54.164907839030001</c:v>
                </c:pt>
                <c:pt idx="1">
                  <c:v>54.329486218189999</c:v>
                </c:pt>
                <c:pt idx="2">
                  <c:v>58.819613736530002</c:v>
                </c:pt>
                <c:pt idx="3">
                  <c:v>62.39740458779</c:v>
                </c:pt>
                <c:pt idx="4">
                  <c:v>64.361799034049994</c:v>
                </c:pt>
                <c:pt idx="5">
                  <c:v>58.844907964370002</c:v>
                </c:pt>
                <c:pt idx="6">
                  <c:v>59.456835045879998</c:v>
                </c:pt>
                <c:pt idx="7">
                  <c:v>57.549810099189997</c:v>
                </c:pt>
                <c:pt idx="8">
                  <c:v>57.796864936840002</c:v>
                </c:pt>
                <c:pt idx="9">
                  <c:v>58.530312061350003</c:v>
                </c:pt>
                <c:pt idx="10">
                  <c:v>62.229938676789999</c:v>
                </c:pt>
                <c:pt idx="11">
                  <c:v>59.206705407469997</c:v>
                </c:pt>
                <c:pt idx="12">
                  <c:v>57.550188243329998</c:v>
                </c:pt>
                <c:pt idx="13">
                  <c:v>59.206705407469997</c:v>
                </c:pt>
                <c:pt idx="14">
                  <c:v>63.370022595510001</c:v>
                </c:pt>
                <c:pt idx="15">
                  <c:v>63.99046146749</c:v>
                </c:pt>
                <c:pt idx="16">
                  <c:v>61.414452054580003</c:v>
                </c:pt>
                <c:pt idx="17">
                  <c:v>58.6237751906</c:v>
                </c:pt>
                <c:pt idx="18">
                  <c:v>58.367873992630003</c:v>
                </c:pt>
                <c:pt idx="19">
                  <c:v>60.295365164819998</c:v>
                </c:pt>
                <c:pt idx="20">
                  <c:v>60.957256472300003</c:v>
                </c:pt>
                <c:pt idx="21">
                  <c:v>60.109320040550003</c:v>
                </c:pt>
                <c:pt idx="22">
                  <c:v>62.710373989419999</c:v>
                </c:pt>
                <c:pt idx="23">
                  <c:v>66.38540254438</c:v>
                </c:pt>
                <c:pt idx="24">
                  <c:v>68.407048204749998</c:v>
                </c:pt>
                <c:pt idx="25">
                  <c:v>73.752100149110007</c:v>
                </c:pt>
                <c:pt idx="26">
                  <c:v>78.676881446630006</c:v>
                </c:pt>
                <c:pt idx="27">
                  <c:v>77.376888151179998</c:v>
                </c:pt>
                <c:pt idx="28">
                  <c:v>79.844413786559997</c:v>
                </c:pt>
                <c:pt idx="29">
                  <c:v>80.623100672709995</c:v>
                </c:pt>
                <c:pt idx="30">
                  <c:v>77.420977860830007</c:v>
                </c:pt>
                <c:pt idx="31">
                  <c:v>77.427630680259995</c:v>
                </c:pt>
                <c:pt idx="32">
                  <c:v>87.133298784429996</c:v>
                </c:pt>
                <c:pt idx="33">
                  <c:v>92.910703024759997</c:v>
                </c:pt>
                <c:pt idx="34">
                  <c:v>100.17608634827999</c:v>
                </c:pt>
                <c:pt idx="35">
                  <c:v>106.55685775284</c:v>
                </c:pt>
                <c:pt idx="36">
                  <c:v>109.91639173969</c:v>
                </c:pt>
                <c:pt idx="37">
                  <c:v>114.3351027766</c:v>
                </c:pt>
                <c:pt idx="38">
                  <c:v>128.77000980207001</c:v>
                </c:pt>
                <c:pt idx="39">
                  <c:v>174.06530962720001</c:v>
                </c:pt>
                <c:pt idx="40">
                  <c:v>213.04042394248</c:v>
                </c:pt>
                <c:pt idx="41">
                  <c:v>214.56865970122001</c:v>
                </c:pt>
                <c:pt idx="42">
                  <c:v>239.63922629375</c:v>
                </c:pt>
                <c:pt idx="43">
                  <c:v>256.05522873852999</c:v>
                </c:pt>
                <c:pt idx="44">
                  <c:v>245.37345815242</c:v>
                </c:pt>
                <c:pt idx="45">
                  <c:v>242.16448559007</c:v>
                </c:pt>
                <c:pt idx="46">
                  <c:v>180.64833892442999</c:v>
                </c:pt>
                <c:pt idx="47">
                  <c:v>162.44473706721001</c:v>
                </c:pt>
                <c:pt idx="48">
                  <c:v>164.15376487467</c:v>
                </c:pt>
                <c:pt idx="49">
                  <c:v>165.59260471911</c:v>
                </c:pt>
                <c:pt idx="50">
                  <c:v>168.55288169239</c:v>
                </c:pt>
                <c:pt idx="51">
                  <c:v>142.70543158016</c:v>
                </c:pt>
                <c:pt idx="52">
                  <c:v>132.28813214058999</c:v>
                </c:pt>
                <c:pt idx="53">
                  <c:v>119.83838118735</c:v>
                </c:pt>
                <c:pt idx="54">
                  <c:v>99.305281892709999</c:v>
                </c:pt>
                <c:pt idx="55">
                  <c:v>95.282554161899995</c:v>
                </c:pt>
                <c:pt idx="56">
                  <c:v>86.165006946250003</c:v>
                </c:pt>
                <c:pt idx="57">
                  <c:v>87.760698287409994</c:v>
                </c:pt>
                <c:pt idx="58">
                  <c:v>87.973621273790002</c:v>
                </c:pt>
                <c:pt idx="59">
                  <c:v>90.819794948199998</c:v>
                </c:pt>
                <c:pt idx="60">
                  <c:v>92.950925229579994</c:v>
                </c:pt>
                <c:pt idx="61">
                  <c:v>96.69123089563</c:v>
                </c:pt>
                <c:pt idx="62">
                  <c:v>95.003246376489997</c:v>
                </c:pt>
                <c:pt idx="63">
                  <c:v>92.46111912296</c:v>
                </c:pt>
                <c:pt idx="64">
                  <c:v>88.180663695389995</c:v>
                </c:pt>
                <c:pt idx="65">
                  <c:v>85.400787873759995</c:v>
                </c:pt>
                <c:pt idx="66">
                  <c:v>92.290988251399995</c:v>
                </c:pt>
                <c:pt idx="67">
                  <c:v>98.26055790433</c:v>
                </c:pt>
                <c:pt idx="68">
                  <c:v>107.41757334552</c:v>
                </c:pt>
                <c:pt idx="69">
                  <c:v>112.34859694017</c:v>
                </c:pt>
                <c:pt idx="70">
                  <c:v>118.15945731259001</c:v>
                </c:pt>
                <c:pt idx="71">
                  <c:v>120.83485305219</c:v>
                </c:pt>
                <c:pt idx="72">
                  <c:v>120.67260400446</c:v>
                </c:pt>
                <c:pt idx="73">
                  <c:v>115.47620323965999</c:v>
                </c:pt>
                <c:pt idx="74">
                  <c:v>111.73001285908001</c:v>
                </c:pt>
                <c:pt idx="75">
                  <c:v>110.52139944702</c:v>
                </c:pt>
                <c:pt idx="76">
                  <c:v>108.35564802136</c:v>
                </c:pt>
                <c:pt idx="77">
                  <c:v>146.01848169352999</c:v>
                </c:pt>
                <c:pt idx="78">
                  <c:v>153.44880925391001</c:v>
                </c:pt>
                <c:pt idx="79">
                  <c:v>155.85325518966999</c:v>
                </c:pt>
                <c:pt idx="80">
                  <c:v>160.61171702185001</c:v>
                </c:pt>
                <c:pt idx="81">
                  <c:v>160.81943238104</c:v>
                </c:pt>
                <c:pt idx="82">
                  <c:v>158.78996767637</c:v>
                </c:pt>
                <c:pt idx="83">
                  <c:v>149.11074290464001</c:v>
                </c:pt>
                <c:pt idx="84">
                  <c:v>138.55776269622999</c:v>
                </c:pt>
                <c:pt idx="85">
                  <c:v>139.32665972583001</c:v>
                </c:pt>
                <c:pt idx="86">
                  <c:v>136.90574068751999</c:v>
                </c:pt>
                <c:pt idx="87">
                  <c:v>154.33703779472</c:v>
                </c:pt>
                <c:pt idx="88">
                  <c:v>161.10366070360999</c:v>
                </c:pt>
                <c:pt idx="89">
                  <c:v>152.75350487304999</c:v>
                </c:pt>
                <c:pt idx="90">
                  <c:v>118.63775599333999</c:v>
                </c:pt>
                <c:pt idx="91">
                  <c:v>140.40886073761999</c:v>
                </c:pt>
                <c:pt idx="92">
                  <c:v>140.67719505146999</c:v>
                </c:pt>
                <c:pt idx="93">
                  <c:v>134.99042302858001</c:v>
                </c:pt>
                <c:pt idx="94">
                  <c:v>138.4240247523</c:v>
                </c:pt>
                <c:pt idx="95">
                  <c:v>136.61751968479001</c:v>
                </c:pt>
                <c:pt idx="96">
                  <c:v>131.81737763805</c:v>
                </c:pt>
                <c:pt idx="97">
                  <c:v>136.40502217246001</c:v>
                </c:pt>
                <c:pt idx="98">
                  <c:v>129.71429142939999</c:v>
                </c:pt>
                <c:pt idx="99">
                  <c:v>117.31720084841</c:v>
                </c:pt>
                <c:pt idx="100">
                  <c:v>123.66371024963</c:v>
                </c:pt>
                <c:pt idx="101">
                  <c:v>114.44710171192</c:v>
                </c:pt>
                <c:pt idx="102">
                  <c:v>110.33137653439999</c:v>
                </c:pt>
                <c:pt idx="103">
                  <c:v>107.22577872806001</c:v>
                </c:pt>
                <c:pt idx="104">
                  <c:v>102.13922505734</c:v>
                </c:pt>
                <c:pt idx="105">
                  <c:v>98.313099263340007</c:v>
                </c:pt>
                <c:pt idx="106">
                  <c:v>99.749110902629994</c:v>
                </c:pt>
                <c:pt idx="107">
                  <c:v>101.24974297873</c:v>
                </c:pt>
                <c:pt idx="108">
                  <c:v>105.66526447645001</c:v>
                </c:pt>
                <c:pt idx="109">
                  <c:v>105.60942788654999</c:v>
                </c:pt>
                <c:pt idx="110">
                  <c:v>102.59859795257999</c:v>
                </c:pt>
                <c:pt idx="111">
                  <c:v>94.908379076420005</c:v>
                </c:pt>
                <c:pt idx="112">
                  <c:v>96.031122354429996</c:v>
                </c:pt>
                <c:pt idx="113">
                  <c:v>99.498795057570007</c:v>
                </c:pt>
                <c:pt idx="114">
                  <c:v>100.48395111002</c:v>
                </c:pt>
                <c:pt idx="115">
                  <c:v>101.43514409269</c:v>
                </c:pt>
                <c:pt idx="116">
                  <c:v>102.7868339775</c:v>
                </c:pt>
                <c:pt idx="117">
                  <c:v>103.52714580171001</c:v>
                </c:pt>
                <c:pt idx="118">
                  <c:v>103.34969326874</c:v>
                </c:pt>
                <c:pt idx="119">
                  <c:v>101.78104062012</c:v>
                </c:pt>
                <c:pt idx="120">
                  <c:v>101.36218939862999</c:v>
                </c:pt>
                <c:pt idx="121">
                  <c:v>101.69905265602</c:v>
                </c:pt>
                <c:pt idx="122">
                  <c:v>100.88430969039</c:v>
                </c:pt>
                <c:pt idx="123">
                  <c:v>95.158320248180004</c:v>
                </c:pt>
                <c:pt idx="124">
                  <c:v>95.407252734599993</c:v>
                </c:pt>
                <c:pt idx="125">
                  <c:v>100.1885932898</c:v>
                </c:pt>
                <c:pt idx="126">
                  <c:v>99.809176704590001</c:v>
                </c:pt>
                <c:pt idx="127">
                  <c:v>98.435188720059998</c:v>
                </c:pt>
                <c:pt idx="128">
                  <c:v>99.606520300130001</c:v>
                </c:pt>
                <c:pt idx="129">
                  <c:v>95.468772380299995</c:v>
                </c:pt>
                <c:pt idx="130">
                  <c:v>96.557487953000006</c:v>
                </c:pt>
                <c:pt idx="131">
                  <c:v>96.247985088730005</c:v>
                </c:pt>
                <c:pt idx="132">
                  <c:v>90.317309417550007</c:v>
                </c:pt>
                <c:pt idx="133">
                  <c:v>80.300488038340006</c:v>
                </c:pt>
                <c:pt idx="134">
                  <c:v>81.997441773839995</c:v>
                </c:pt>
                <c:pt idx="135">
                  <c:v>81.363097265459999</c:v>
                </c:pt>
                <c:pt idx="136">
                  <c:v>81.086965085049997</c:v>
                </c:pt>
                <c:pt idx="137">
                  <c:v>72.541038788240002</c:v>
                </c:pt>
                <c:pt idx="138">
                  <c:v>76.654630313690006</c:v>
                </c:pt>
                <c:pt idx="139">
                  <c:v>72.694756736459993</c:v>
                </c:pt>
                <c:pt idx="140">
                  <c:v>73.051258687759997</c:v>
                </c:pt>
                <c:pt idx="141">
                  <c:v>72.966390474869996</c:v>
                </c:pt>
                <c:pt idx="142">
                  <c:v>74.510439542049994</c:v>
                </c:pt>
                <c:pt idx="143">
                  <c:v>75.02915253434</c:v>
                </c:pt>
                <c:pt idx="144">
                  <c:v>76.793307016870003</c:v>
                </c:pt>
                <c:pt idx="145">
                  <c:v>76.753583796170005</c:v>
                </c:pt>
                <c:pt idx="146">
                  <c:v>76.447869763550003</c:v>
                </c:pt>
                <c:pt idx="147">
                  <c:v>73.741388256739995</c:v>
                </c:pt>
                <c:pt idx="148">
                  <c:v>68.505598524489997</c:v>
                </c:pt>
                <c:pt idx="149">
                  <c:v>70.258716041610001</c:v>
                </c:pt>
                <c:pt idx="150">
                  <c:v>68.915606141059996</c:v>
                </c:pt>
                <c:pt idx="151">
                  <c:v>70.748488451539998</c:v>
                </c:pt>
                <c:pt idx="152">
                  <c:v>74.076017197780004</c:v>
                </c:pt>
                <c:pt idx="153">
                  <c:v>78.086943412170001</c:v>
                </c:pt>
                <c:pt idx="154">
                  <c:v>82.675083951839994</c:v>
                </c:pt>
                <c:pt idx="155">
                  <c:v>74.099408336219994</c:v>
                </c:pt>
                <c:pt idx="156">
                  <c:v>75.453350792280006</c:v>
                </c:pt>
                <c:pt idx="157">
                  <c:v>77.696081634310005</c:v>
                </c:pt>
                <c:pt idx="158">
                  <c:v>78.275211040900004</c:v>
                </c:pt>
                <c:pt idx="159">
                  <c:v>78.591844487700001</c:v>
                </c:pt>
                <c:pt idx="160">
                  <c:v>77.396362959599998</c:v>
                </c:pt>
                <c:pt idx="161">
                  <c:v>78.030450758840004</c:v>
                </c:pt>
                <c:pt idx="162">
                  <c:v>82.635482415140004</c:v>
                </c:pt>
                <c:pt idx="163">
                  <c:v>84.565610824309999</c:v>
                </c:pt>
                <c:pt idx="164">
                  <c:v>86.697247362390002</c:v>
                </c:pt>
                <c:pt idx="165">
                  <c:v>88.151800389140007</c:v>
                </c:pt>
                <c:pt idx="166">
                  <c:v>93.117536273029998</c:v>
                </c:pt>
                <c:pt idx="167">
                  <c:v>89.428145317759999</c:v>
                </c:pt>
                <c:pt idx="168">
                  <c:v>86.819084444469993</c:v>
                </c:pt>
                <c:pt idx="169">
                  <c:v>84.839744147600001</c:v>
                </c:pt>
                <c:pt idx="170">
                  <c:v>84.278479661039995</c:v>
                </c:pt>
                <c:pt idx="171">
                  <c:v>84.706147273179994</c:v>
                </c:pt>
                <c:pt idx="172">
                  <c:v>84.422420923930005</c:v>
                </c:pt>
                <c:pt idx="173">
                  <c:v>83.78403663812</c:v>
                </c:pt>
                <c:pt idx="174">
                  <c:v>82.705190209039998</c:v>
                </c:pt>
                <c:pt idx="175">
                  <c:v>81.745422620900001</c:v>
                </c:pt>
                <c:pt idx="176">
                  <c:v>77.83964961817</c:v>
                </c:pt>
                <c:pt idx="177">
                  <c:v>77.732315892640003</c:v>
                </c:pt>
                <c:pt idx="178">
                  <c:v>75.042712872829995</c:v>
                </c:pt>
                <c:pt idx="179">
                  <c:v>72.627905574500005</c:v>
                </c:pt>
                <c:pt idx="180">
                  <c:v>72.275573404849993</c:v>
                </c:pt>
                <c:pt idx="181">
                  <c:v>70.935763976770005</c:v>
                </c:pt>
                <c:pt idx="182">
                  <c:v>72.725842118000003</c:v>
                </c:pt>
                <c:pt idx="183">
                  <c:v>72.212884931120001</c:v>
                </c:pt>
                <c:pt idx="184">
                  <c:v>67.816830163640006</c:v>
                </c:pt>
                <c:pt idx="185">
                  <c:v>68.242463535439995</c:v>
                </c:pt>
                <c:pt idx="186">
                  <c:v>71.958505101919997</c:v>
                </c:pt>
                <c:pt idx="187">
                  <c:v>78.254439603099996</c:v>
                </c:pt>
                <c:pt idx="188">
                  <c:v>79.598975038549995</c:v>
                </c:pt>
                <c:pt idx="189">
                  <c:v>79.776018089649995</c:v>
                </c:pt>
                <c:pt idx="190">
                  <c:v>80.015066567420007</c:v>
                </c:pt>
                <c:pt idx="191">
                  <c:v>81.486027742239997</c:v>
                </c:pt>
                <c:pt idx="192">
                  <c:v>86.169961047819996</c:v>
                </c:pt>
                <c:pt idx="193">
                  <c:v>105.40850987147</c:v>
                </c:pt>
                <c:pt idx="194">
                  <c:v>111.34130941277</c:v>
                </c:pt>
                <c:pt idx="195">
                  <c:v>110.22171376656</c:v>
                </c:pt>
                <c:pt idx="196">
                  <c:v>116.71356304587999</c:v>
                </c:pt>
                <c:pt idx="197">
                  <c:v>135.52292685902</c:v>
                </c:pt>
                <c:pt idx="198">
                  <c:v>153.04351839274</c:v>
                </c:pt>
                <c:pt idx="199">
                  <c:v>159.47205225677999</c:v>
                </c:pt>
                <c:pt idx="200">
                  <c:v>160.70982363293001</c:v>
                </c:pt>
                <c:pt idx="201">
                  <c:v>205.52768747217999</c:v>
                </c:pt>
                <c:pt idx="202">
                  <c:v>240.01298018969999</c:v>
                </c:pt>
                <c:pt idx="203">
                  <c:v>243.54553505383001</c:v>
                </c:pt>
                <c:pt idx="204">
                  <c:v>234.71371880052999</c:v>
                </c:pt>
                <c:pt idx="205">
                  <c:v>220.68307368837</c:v>
                </c:pt>
                <c:pt idx="206">
                  <c:v>257.68080411925001</c:v>
                </c:pt>
                <c:pt idx="207">
                  <c:v>293.72620755679998</c:v>
                </c:pt>
                <c:pt idx="208">
                  <c:v>259.92346497495998</c:v>
                </c:pt>
                <c:pt idx="209">
                  <c:v>252.96807184635</c:v>
                </c:pt>
                <c:pt idx="210">
                  <c:v>240.38059208640999</c:v>
                </c:pt>
                <c:pt idx="211">
                  <c:v>229.62608492721</c:v>
                </c:pt>
                <c:pt idx="212">
                  <c:v>232.72306502517</c:v>
                </c:pt>
                <c:pt idx="213">
                  <c:v>217.90065530935999</c:v>
                </c:pt>
                <c:pt idx="214">
                  <c:v>201.86678620782001</c:v>
                </c:pt>
                <c:pt idx="215">
                  <c:v>186.64187671065</c:v>
                </c:pt>
                <c:pt idx="216">
                  <c:v>174.66418152917001</c:v>
                </c:pt>
                <c:pt idx="217">
                  <c:v>163.96145133399</c:v>
                </c:pt>
                <c:pt idx="218">
                  <c:v>158.03962271366001</c:v>
                </c:pt>
                <c:pt idx="219">
                  <c:v>155.97461761129</c:v>
                </c:pt>
                <c:pt idx="220">
                  <c:v>152.47222347004001</c:v>
                </c:pt>
                <c:pt idx="221">
                  <c:v>138.29417795264999</c:v>
                </c:pt>
                <c:pt idx="222">
                  <c:v>145.64947689349</c:v>
                </c:pt>
                <c:pt idx="223">
                  <c:v>157.5811001175</c:v>
                </c:pt>
                <c:pt idx="224">
                  <c:v>157.52381276327</c:v>
                </c:pt>
                <c:pt idx="225">
                  <c:v>161.7776388799</c:v>
                </c:pt>
                <c:pt idx="226">
                  <c:v>157.15584430553</c:v>
                </c:pt>
                <c:pt idx="227">
                  <c:v>119.36419171522</c:v>
                </c:pt>
                <c:pt idx="228">
                  <c:v>115.92994014282</c:v>
                </c:pt>
                <c:pt idx="229">
                  <c:v>117.99761755097001</c:v>
                </c:pt>
              </c:numCache>
            </c:numRef>
          </c:val>
          <c:smooth val="0"/>
          <c:extLst>
            <c:ext xmlns:c16="http://schemas.microsoft.com/office/drawing/2014/chart" uri="{C3380CC4-5D6E-409C-BE32-E72D297353CC}">
              <c16:uniqueId val="{00000001-247A-4552-95C9-03CED073F479}"/>
            </c:ext>
          </c:extLst>
        </c:ser>
        <c:dLbls>
          <c:showLegendKey val="0"/>
          <c:showVal val="0"/>
          <c:showCatName val="0"/>
          <c:showSerName val="0"/>
          <c:showPercent val="0"/>
          <c:showBubbleSize val="0"/>
        </c:dLbls>
        <c:smooth val="0"/>
        <c:axId val="483110208"/>
        <c:axId val="483110536"/>
      </c:lineChart>
      <c:dateAx>
        <c:axId val="483110208"/>
        <c:scaling>
          <c:orientation val="minMax"/>
        </c:scaling>
        <c:delete val="0"/>
        <c:axPos val="b"/>
        <c:majorGridlines>
          <c:spPr>
            <a:ln w="9525" cap="flat" cmpd="sng" algn="ctr">
              <a:solidFill>
                <a:schemeClr val="bg1"/>
              </a:solidFill>
              <a:round/>
            </a:ln>
            <a:effectLst/>
          </c:spPr>
        </c:majorGridlines>
        <c:numFmt formatCode="[$-409]mmm\-yy;@" sourceLinked="0"/>
        <c:majorTickMark val="in"/>
        <c:minorTickMark val="none"/>
        <c:tickLblPos val="nextTo"/>
        <c:spPr>
          <a:noFill/>
          <a:ln w="9525"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536"/>
        <c:crosses val="autoZero"/>
        <c:auto val="1"/>
        <c:lblOffset val="100"/>
        <c:baseTimeUnit val="months"/>
        <c:majorUnit val="9"/>
        <c:majorTimeUnit val="months"/>
        <c:minorUnit val="10"/>
        <c:minorTimeUnit val="years"/>
      </c:dateAx>
      <c:valAx>
        <c:axId val="483110536"/>
        <c:scaling>
          <c:orientation val="minMax"/>
        </c:scaling>
        <c:delete val="0"/>
        <c:axPos val="l"/>
        <c:majorGridlines>
          <c:spPr>
            <a:ln w="9525" cap="flat" cmpd="sng" algn="ctr">
              <a:solidFill>
                <a:schemeClr val="bg1"/>
              </a:solidFill>
              <a:round/>
            </a:ln>
            <a:effectLst/>
          </c:spPr>
        </c:majorGridlines>
        <c:numFmt formatCode="0" sourceLinked="0"/>
        <c:majorTickMark val="in"/>
        <c:minorTickMark val="none"/>
        <c:tickLblPos val="nextTo"/>
        <c:spPr>
          <a:noFill/>
          <a:ln>
            <a:solidFill>
              <a:schemeClr val="tx1"/>
            </a:solidFill>
          </a:ln>
          <a:effectLst>
            <a:softEdge rad="50800"/>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208"/>
        <c:crosses val="autoZero"/>
        <c:crossBetween val="between"/>
      </c:valAx>
      <c:spPr>
        <a:solidFill>
          <a:schemeClr val="bg2"/>
        </a:solidFill>
        <a:ln>
          <a:noFill/>
        </a:ln>
        <a:effectLst/>
      </c:spPr>
    </c:plotArea>
    <c:legend>
      <c:legendPos val="t"/>
      <c:overlay val="0"/>
      <c:spPr>
        <a:solidFill>
          <a:schemeClr val="bg2"/>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Pages>
  <Words>2194</Words>
  <Characters>62562</Characters>
  <Application>Microsoft Office Word</Application>
  <DocSecurity>0</DocSecurity>
  <Lines>977</Lines>
  <Paragraphs>268</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64488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117</cp:revision>
  <dcterms:created xsi:type="dcterms:W3CDTF">2025-02-21T09:16:00Z</dcterms:created>
  <dcterms:modified xsi:type="dcterms:W3CDTF">2025-09-11T12:53:00Z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c1fd35f2-f3f9-40dd-bc75-3b27c332dad8</vt:lpwstr>
  </property>
</Properties>
</file>